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黑体" w:hAnsi="黑体" w:eastAsia="黑体" w:cs="黑体"/>
          <w:b/>
          <w:bCs/>
          <w:sz w:val="32"/>
          <w:szCs w:val="32"/>
          <w:u w:color="FF0000"/>
        </w:rPr>
      </w:pPr>
      <w:r>
        <w:rPr>
          <w:rFonts w:hint="eastAsia" w:ascii="黑体" w:hAnsi="黑体" w:eastAsia="黑体" w:cs="黑体"/>
          <w:bCs/>
          <w:sz w:val="32"/>
          <w:szCs w:val="32"/>
          <w:u w:color="FF0000"/>
        </w:rPr>
        <w:t>附件</w:t>
      </w:r>
      <w:r>
        <w:rPr>
          <w:rFonts w:ascii="黑体" w:hAnsi="黑体" w:eastAsia="黑体" w:cs="黑体"/>
          <w:bCs/>
          <w:sz w:val="32"/>
          <w:szCs w:val="32"/>
          <w:u w:color="FF0000"/>
        </w:rPr>
        <w:t xml:space="preserve">2       </w:t>
      </w:r>
    </w:p>
    <w:p>
      <w:pPr>
        <w:snapToGrid w:val="0"/>
        <w:spacing w:line="580" w:lineRule="exact"/>
        <w:jc w:val="center"/>
        <w:rPr>
          <w:rFonts w:ascii="方正小标宋简体" w:hAnsi="黑体" w:eastAsia="方正小标宋简体" w:cs="黑体"/>
          <w:bCs/>
          <w:sz w:val="44"/>
          <w:szCs w:val="44"/>
          <w:u w:color="FF0000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u w:color="FF0000"/>
        </w:rPr>
        <w:t>新绛县化妆品经营（使用）单位购货台账（模板）</w:t>
      </w:r>
    </w:p>
    <w:p>
      <w:pPr>
        <w:spacing w:line="600" w:lineRule="exact"/>
        <w:jc w:val="left"/>
        <w:rPr>
          <w:rFonts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经营（使用）单位：</w:t>
      </w:r>
      <w:r>
        <w:rPr>
          <w:rFonts w:ascii="仿宋_GB2312" w:eastAsia="仿宋_GB2312"/>
          <w:kern w:val="0"/>
          <w:sz w:val="28"/>
          <w:szCs w:val="28"/>
        </w:rPr>
        <w:t xml:space="preserve">           </w:t>
      </w:r>
    </w:p>
    <w:tbl>
      <w:tblPr>
        <w:tblStyle w:val="3"/>
        <w:tblW w:w="14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925"/>
        <w:gridCol w:w="938"/>
        <w:gridCol w:w="989"/>
        <w:gridCol w:w="1985"/>
        <w:gridCol w:w="1428"/>
        <w:gridCol w:w="1605"/>
        <w:gridCol w:w="2220"/>
        <w:gridCol w:w="132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名称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规格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生产日期</w:t>
            </w:r>
            <w:r>
              <w:rPr>
                <w:rFonts w:ascii="仿宋_GB2312" w:eastAsia="仿宋_GB2312"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kern w:val="0"/>
                <w:sz w:val="24"/>
              </w:rPr>
              <w:t>批号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保质期限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生产企业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供应商名称及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联系方式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购进日期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6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/>
                <w:kern w:val="0"/>
                <w:sz w:val="28"/>
              </w:rPr>
              <w:t> </w:t>
            </w:r>
          </w:p>
        </w:tc>
        <w:tc>
          <w:tcPr>
            <w:tcW w:w="192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93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98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0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32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6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2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93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98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0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32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6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2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93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98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0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32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6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2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93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98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0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32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ascii="楷体_GB2312" w:eastAsia="楷体_GB2312"/>
          <w:kern w:val="0"/>
          <w:sz w:val="28"/>
          <w:szCs w:val="36"/>
        </w:rPr>
      </w:pPr>
      <w:r>
        <w:rPr>
          <w:rFonts w:hint="eastAsia" w:ascii="楷体_GB2312" w:eastAsia="楷体_GB2312"/>
          <w:kern w:val="0"/>
          <w:sz w:val="28"/>
          <w:szCs w:val="28"/>
        </w:rPr>
        <w:t>注：购货台账应按照供应商、供货品种、供货时间顺序等分类管理。</w:t>
      </w: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u w:color="FF0000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43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165735</wp:posOffset>
              </wp:positionH>
              <wp:positionV relativeFrom="paragraph">
                <wp:posOffset>38735</wp:posOffset>
              </wp:positionV>
              <wp:extent cx="431165" cy="718185"/>
              <wp:effectExtent l="4445" t="5080" r="21590" b="19685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165" cy="718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05pt;margin-top:3.05pt;height:56.55pt;width:33.95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pjqA1QAAAAcBAAAPAAAAAAAAAAEAIAAAACIAAABkcnMvZG93&#10;bnJldi54bWxQSwECFAAUAAAACACHTuJAG+EfVAMCAAAdBAAADgAAAAAAAAABACAAAAAkAQAAZHJz&#10;L2Uyb0RvYy54bWxQSwUGAAAAAAYABgBZAQAAmQUAAAAA&#10;">
              <v:fill on="t" focussize="0,0"/>
              <v:stroke color="#FFFFFF" joinstyle="miter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2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2020-03-03T09:35:30Z</dcterms:created>
  <dc:creator>sjj</dc:creator>
  <cp:lastModifiedBy>sjj</cp:lastModifiedBy>
  <dcterms:modified xsi:type="dcterms:W3CDTF">2020-03-03T09:35:47Z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