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其他权利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烈士的申报审批流程图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8pt;margin-top:31.2pt;height:129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需提交资料：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1</w:t>
                  </w:r>
                  <w:r>
                    <w:rPr>
                      <w:rFonts w:hint="eastAsia" w:ascii="宋体" w:hAnsi="宋体"/>
                      <w:sz w:val="20"/>
                      <w:szCs w:val="20"/>
                    </w:rPr>
                    <w:t>、申请人（或单位）的书面申请</w:t>
                  </w:r>
                </w:p>
                <w:p>
                  <w:pPr>
                    <w:rPr>
                      <w:rFonts w:ascii="宋体"/>
                      <w:sz w:val="20"/>
                      <w:szCs w:val="20"/>
                    </w:rPr>
                  </w:pPr>
                  <w:r>
                    <w:rPr>
                      <w:rFonts w:ascii="宋体" w:hAnsi="宋体"/>
                      <w:sz w:val="20"/>
                      <w:szCs w:val="20"/>
                    </w:rPr>
                    <w:t>2</w:t>
                  </w:r>
                  <w:r>
                    <w:rPr>
                      <w:rFonts w:hint="eastAsia" w:ascii="宋体" w:hAnsi="宋体"/>
                      <w:sz w:val="20"/>
                      <w:szCs w:val="20"/>
                    </w:rPr>
                    <w:t>、牺牲人员情节的描述和有关证明材料。牺牲人员如是被犯罪分子杀害牺牲的，应有公安部门现场侦破材料和结论及犯罪分子的口供笔录，法院判决结果等材料</w:t>
                  </w:r>
                </w:p>
                <w:p>
                  <w:pPr>
                    <w:rPr>
                      <w:rFonts w:ascii="宋体"/>
                      <w:sz w:val="20"/>
                      <w:szCs w:val="20"/>
                    </w:rPr>
                  </w:pPr>
                  <w:r>
                    <w:rPr>
                      <w:rFonts w:ascii="宋体" w:hAnsi="宋体"/>
                      <w:sz w:val="20"/>
                      <w:szCs w:val="20"/>
                    </w:rPr>
                    <w:t>3</w:t>
                  </w:r>
                  <w:r>
                    <w:rPr>
                      <w:rFonts w:hint="eastAsia" w:ascii="宋体" w:hAnsi="宋体"/>
                      <w:sz w:val="20"/>
                      <w:szCs w:val="20"/>
                    </w:rPr>
                    <w:t>、其他当事人或目击者证明材料</w:t>
                  </w:r>
                </w:p>
                <w:p>
                  <w:pPr>
                    <w:rPr>
                      <w:rFonts w:ascii="宋体"/>
                      <w:sz w:val="20"/>
                      <w:szCs w:val="20"/>
                    </w:rPr>
                  </w:pPr>
                  <w:r>
                    <w:rPr>
                      <w:rFonts w:ascii="宋体" w:hAnsi="宋体"/>
                      <w:sz w:val="20"/>
                      <w:szCs w:val="20"/>
                    </w:rPr>
                    <w:t>4</w:t>
                  </w:r>
                  <w:r>
                    <w:rPr>
                      <w:rFonts w:hint="eastAsia" w:ascii="宋体" w:hAnsi="宋体"/>
                      <w:sz w:val="20"/>
                      <w:szCs w:val="20"/>
                    </w:rPr>
                    <w:t>、牺牲人生前主要事迹</w:t>
                  </w:r>
                </w:p>
                <w:p>
                  <w:pPr>
                    <w:rPr>
                      <w:rFonts w:ascii="宋体"/>
                      <w:sz w:val="20"/>
                      <w:szCs w:val="20"/>
                    </w:rPr>
                  </w:pPr>
                  <w:r>
                    <w:rPr>
                      <w:rFonts w:ascii="宋体" w:hAnsi="宋体"/>
                      <w:sz w:val="20"/>
                      <w:szCs w:val="20"/>
                    </w:rPr>
                    <w:t>5</w:t>
                  </w:r>
                  <w:r>
                    <w:rPr>
                      <w:rFonts w:hint="eastAsia" w:ascii="宋体" w:hAnsi="宋体"/>
                      <w:sz w:val="20"/>
                      <w:szCs w:val="20"/>
                    </w:rPr>
                    <w:t>、牺牲人员家庭成员情况</w:t>
                  </w:r>
                </w:p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</w:pPr>
                </w:p>
              </w:txbxContent>
            </v:textbox>
          </v:rect>
        </w:pict>
      </w:r>
      <w:r>
        <w:pict>
          <v:rect id="文本框 6" o:spid="_x0000_s1027" o:spt="1" style="position:absolute;left:0pt;margin-left:192.15pt;margin-top:413.4pt;height:85.8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>
                    <w:rPr>
                      <w:rFonts w:hint="eastAsia"/>
                      <w:sz w:val="20"/>
                      <w:szCs w:val="20"/>
                    </w:rPr>
                    <w:t>、对初审意见进行复查后请示并逐级上报上一级人民政府</w:t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>
                    <w:rPr>
                      <w:rFonts w:hint="eastAsia"/>
                      <w:sz w:val="20"/>
                      <w:szCs w:val="20"/>
                    </w:rPr>
                    <w:t>、申请人提供的整套材料</w:t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>
                    <w:rPr>
                      <w:rFonts w:hint="eastAsia"/>
                      <w:sz w:val="20"/>
                      <w:szCs w:val="20"/>
                    </w:rPr>
                    <w:t>、县级人民政府民政部门调查核实的情况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8" o:spt="1" style="position:absolute;left:0pt;margin-left:189pt;margin-top:218.4pt;height:129.45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>
                    <w:rPr>
                      <w:rFonts w:hint="eastAsia"/>
                      <w:sz w:val="20"/>
                      <w:szCs w:val="20"/>
                    </w:rPr>
                    <w:t>、审查申请人提交的材料</w:t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>
                    <w:rPr>
                      <w:rFonts w:hint="eastAsia"/>
                      <w:sz w:val="20"/>
                      <w:szCs w:val="20"/>
                    </w:rPr>
                    <w:t>、对申请人提交的材料进行必要的调查核实</w:t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>
                    <w:rPr>
                      <w:rFonts w:hint="eastAsia"/>
                      <w:sz w:val="20"/>
                      <w:szCs w:val="20"/>
                    </w:rPr>
                    <w:t>、根据《条例》的有关规定初步审查牺牲人员的牺牲情形是否符合《条例》的有关精神和规定的情形</w:t>
                  </w:r>
                </w:p>
                <w:p>
                  <w:r>
                    <w:rPr>
                      <w:sz w:val="20"/>
                      <w:szCs w:val="20"/>
                    </w:rPr>
                    <w:t>4</w:t>
                  </w:r>
                  <w:r>
                    <w:rPr>
                      <w:rFonts w:hint="eastAsia"/>
                      <w:sz w:val="20"/>
                      <w:szCs w:val="20"/>
                    </w:rPr>
                    <w:t>、如初审符合《条例》规定，形成初审意见上报县级人民政府。如不符合，告知申请人并向其解释有关规定。</w:t>
                  </w:r>
                </w:p>
                <w:p/>
              </w:txbxContent>
            </v:textbox>
          </v:rect>
        </w:pict>
      </w:r>
      <w:r>
        <w:pict>
          <v:rect id="文本框 2" o:spid="_x0000_s1029" o:spt="1" style="position:absolute;left:0pt;margin-left:0pt;margin-top:403.55pt;height:93.6pt;width:144.2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（县级人民政府）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0" o:spt="1" style="position:absolute;left:0pt;margin-left:0pt;margin-top:221pt;height:93.6pt;width:144.0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</w:rPr>
                    <w:t>优抚股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1" o:spt="1" style="position:absolute;left:0pt;margin-left:0pt;margin-top:41.05pt;height:93.6pt;width:143.6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</w:rPr>
                    <w:t>优抚股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bookmarkStart w:id="0" w:name="_GoBack"/>
      <w:bookmarkEnd w:id="0"/>
      <w:r>
        <w:pict>
          <v:line id="直接连接符 10" o:spid="_x0000_s1033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919"/>
    <w:rsid w:val="001256CB"/>
    <w:rsid w:val="002B5E4F"/>
    <w:rsid w:val="003421CF"/>
    <w:rsid w:val="00356151"/>
    <w:rsid w:val="0056002D"/>
    <w:rsid w:val="005800E6"/>
    <w:rsid w:val="006D510D"/>
    <w:rsid w:val="007D5A42"/>
    <w:rsid w:val="00820362"/>
    <w:rsid w:val="00896FD2"/>
    <w:rsid w:val="00AF5729"/>
    <w:rsid w:val="00B24B1E"/>
    <w:rsid w:val="00BE6F66"/>
    <w:rsid w:val="00C23E34"/>
    <w:rsid w:val="00D822F1"/>
    <w:rsid w:val="00E20919"/>
    <w:rsid w:val="00F1513F"/>
    <w:rsid w:val="00FA41E3"/>
    <w:rsid w:val="4D1F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4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</Words>
  <Characters>26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2017-11-17T09:15:47Z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