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军队离休退休干部待遇给付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审批流程图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  <w:r>
        <w:pict>
          <v:rect id="文本框 4" o:spid="_x0000_s1027" o:spt="1" style="position:absolute;left:0pt;margin-left:199.4pt;margin-top:49.65pt;height:77.75pt;width:196.6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接收市局移交人员资料</w:t>
                  </w: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8" o:spt="1" style="position:absolute;left:0pt;margin-left:190.1pt;margin-top:221.55pt;height:93.6pt;width:210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按月发放待遇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29" o:spt="20" style="position:absolute;left:0pt;margin-left:144.25pt;margin-top:267.8pt;height:0.55pt;width:45.85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3" o:spid="_x0000_s1030" o:spt="1" style="position:absolute;left:0pt;margin-left:9.05pt;margin-top:221pt;height:93.6pt;width:13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（军休所）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1" o:spid="_x0000_s1031" o:spt="1" style="position:absolute;left:0pt;margin-left:8.6pt;margin-top:41.05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（军休所）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9" o:spid="_x0000_s1032" o:spt="20" style="position:absolute;left:0pt;margin-left:143.6pt;margin-top:87.85pt;height:0.7pt;width:55.8pt;z-index:251659264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7" o:spid="_x0000_s1033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6B0"/>
    <w:rsid w:val="0012708F"/>
    <w:rsid w:val="00292D8E"/>
    <w:rsid w:val="0031161E"/>
    <w:rsid w:val="004976B0"/>
    <w:rsid w:val="00555BFF"/>
    <w:rsid w:val="006401D2"/>
    <w:rsid w:val="008D5A1C"/>
    <w:rsid w:val="008F2D74"/>
    <w:rsid w:val="00947CDB"/>
    <w:rsid w:val="00A466DF"/>
    <w:rsid w:val="00BA6C5B"/>
    <w:rsid w:val="00D51BD1"/>
    <w:rsid w:val="00DB65B8"/>
    <w:rsid w:val="00E35B01"/>
    <w:rsid w:val="00FF4D34"/>
    <w:rsid w:val="565A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4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32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2017-11-17T09:08:17Z</dcterms:modified>
  <dc:title>行政许可—建设项目环境影响评价文件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