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其他权利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辖区内地名命名更名有关事项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备案审批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”</w:t>
      </w:r>
    </w:p>
    <w:p>
      <w:pPr>
        <w:jc w:val="center"/>
        <w:rPr>
          <w:sz w:val="30"/>
          <w:szCs w:val="30"/>
        </w:rPr>
      </w:pPr>
    </w:p>
    <w:p>
      <w:r>
        <w:pict>
          <v:rect id="文本框 1" o:spid="_x0000_s1033" o:spt="1" style="position:absolute;left:0pt;margin-left:1.85pt;margin-top:38.3pt;height:96.35pt;width:141.75pt;z-index:251652096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6" o:spid="_x0000_s1026" o:spt="1" style="position:absolute;left:0pt;margin-left:192.15pt;margin-top:413.4pt;height:62.4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呈报县政府常务会研究批准，提交县人大常委会审议通过并依法公示，有异议重新整理资料，无异议资料整理归档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5" o:spid="_x0000_s1027" o:spt="1" style="position:absolute;left:0pt;margin-left:190.1pt;margin-top:221.55pt;height:93.6pt;width:250.9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根据所报送的材料进行实地勘查、搜集、整理相关资料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根据资料面向社会征名、召开专家论证会拟定出名称预选方案。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rect id="文本框 4" o:spid="_x0000_s1028" o:spt="1" style="position:absolute;left:0pt;margin-left:199.4pt;margin-top:31.2pt;height:109.2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spacing w:line="220" w:lineRule="exact"/>
                    <w:rPr>
                      <w:rFonts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cs="宋体"/>
                      <w:kern w:val="0"/>
                      <w:sz w:val="20"/>
                      <w:szCs w:val="20"/>
                    </w:rPr>
                    <w:t>命名：地名命名申报表、申请报告、立项批复、建设用地规划许可证（含规划红线图）、建设工程规划许可证（含总平面图）、地名管理部门需要的其它材料。</w:t>
                  </w:r>
                </w:p>
                <w:p>
                  <w:pPr>
                    <w:spacing w:line="220" w:lineRule="exact"/>
                    <w:rPr>
                      <w:rFonts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cs="宋体"/>
                      <w:kern w:val="0"/>
                      <w:sz w:val="20"/>
                      <w:szCs w:val="20"/>
                    </w:rPr>
                    <w:t>更名：地名更名申报表、申请报告、建设工程规划许可证（含总平面图）、土地使用证、原申领的《地名使用批准书》。已申领产权证且分割产权的。还须交全体产权所有人同意更名的确认材料、已申领产权证且分割产权并成立业主委员会的。还需要提交业主委员会同意更名的确认材料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（县级人民政府）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pict>
          <v:rect id="文本框 3" o:spid="_x0000_s1032" o:spt="1" style="position:absolute;left:0pt;margin-left:4.35pt;margin-top:1.9pt;height:94.3pt;width:143.1pt;z-index:251654144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基层政权和社区治理股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15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基层政权和社区治理股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</w:p>
    <w:p>
      <w:pPr>
        <w:tabs>
          <w:tab w:val="left" w:pos="5782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C74"/>
    <w:rsid w:val="0016157D"/>
    <w:rsid w:val="00190269"/>
    <w:rsid w:val="001D1291"/>
    <w:rsid w:val="00342C00"/>
    <w:rsid w:val="004071C5"/>
    <w:rsid w:val="004B591A"/>
    <w:rsid w:val="00526C81"/>
    <w:rsid w:val="00815066"/>
    <w:rsid w:val="00C401EC"/>
    <w:rsid w:val="00C87E2A"/>
    <w:rsid w:val="00D10C74"/>
    <w:rsid w:val="00F361BF"/>
    <w:rsid w:val="00F42C00"/>
    <w:rsid w:val="00FA6B52"/>
    <w:rsid w:val="129B71F9"/>
    <w:rsid w:val="2BF971B3"/>
    <w:rsid w:val="64BC262D"/>
    <w:rsid w:val="6D375E0B"/>
    <w:rsid w:val="7B84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26"/>
    <customShpInfo spid="_x0000_s1027"/>
    <customShpInfo spid="_x0000_s1028"/>
    <customShpInfo spid="_x0000_s1030"/>
    <customShpInfo spid="_x0000_s1031"/>
    <customShpInfo spid="_x0000_s1034"/>
    <customShpInfo spid="_x0000_s1035"/>
    <customShpInfo spid="_x0000_s1036"/>
    <customShpInfo spid="_x0000_s1037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35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2019-06-11T07:17:21Z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