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0" w:firstLineChars="100"/>
        <w:jc w:val="center"/>
        <w:rPr>
          <w:rFonts w:hint="eastAsia" w:ascii="黑体" w:hAnsi="黑体" w:eastAsia="黑体" w:cs="宋体"/>
          <w:sz w:val="44"/>
          <w:szCs w:val="44"/>
        </w:rPr>
      </w:pPr>
      <w:r>
        <w:rPr>
          <w:rFonts w:hint="eastAsia" w:ascii="黑体" w:hAnsi="黑体" w:eastAsia="黑体" w:cs="宋体"/>
          <w:sz w:val="44"/>
          <w:szCs w:val="44"/>
        </w:rPr>
        <w:t>贫困残疾人基本康复需求救助</w:t>
      </w:r>
    </w:p>
    <w:p>
      <w:pPr>
        <w:ind w:firstLine="440" w:firstLineChars="100"/>
        <w:jc w:val="center"/>
        <w:rPr>
          <w:rFonts w:ascii="黑体" w:hAnsi="黑体" w:eastAsia="黑体" w:cs="宋体"/>
          <w:sz w:val="44"/>
          <w:szCs w:val="44"/>
        </w:rPr>
      </w:pPr>
      <w:r>
        <w:rPr>
          <w:rFonts w:hint="eastAsia" w:ascii="黑体" w:hAnsi="黑体" w:eastAsia="黑体" w:cs="宋体"/>
          <w:sz w:val="44"/>
          <w:szCs w:val="44"/>
          <w:lang w:eastAsia="zh-CN"/>
        </w:rPr>
        <w:t>廉政风险</w:t>
      </w:r>
      <w:r>
        <w:rPr>
          <w:rFonts w:hint="eastAsia" w:ascii="黑体" w:hAnsi="黑体" w:eastAsia="黑体" w:cs="宋体"/>
          <w:sz w:val="44"/>
          <w:szCs w:val="44"/>
        </w:rPr>
        <w:t>防控图</w:t>
      </w:r>
    </w:p>
    <w:p>
      <w:pPr>
        <w:ind w:firstLine="210" w:firstLineChars="100"/>
        <w:jc w:val="center"/>
        <w:rPr>
          <w:rFonts w:ascii="楷体" w:hAnsi="楷体" w:eastAsia="楷体" w:cs="宋体"/>
          <w:sz w:val="36"/>
          <w:szCs w:val="36"/>
        </w:rPr>
      </w:pPr>
      <w:bookmarkStart w:id="0" w:name="_GoBack"/>
      <w:bookmarkEnd w:id="0"/>
      <w:r>
        <w:pict>
          <v:group id="组合 339" o:spid="_x0000_s2050" o:spt="203" style="position:absolute;left:0pt;margin-left:9pt;margin-top:15.6pt;height:573pt;width:450.65pt;z-index:251660288;mso-width-relative:page;mso-height-relative:page;" coordorigin="1980,3000" coordsize="9013,11460">
            <o:lock v:ext="edit" aspectratio="f"/>
            <v:rect id="Rectangle 61" o:spid="_x0000_s2051" o:spt="1" style="position:absolute;left:5760;top:9995;height:510;width:1531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pacing w:line="283" w:lineRule="auto"/>
                      <w:jc w:val="center"/>
                      <w:rPr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/>
                        <w:szCs w:val="18"/>
                      </w:rPr>
                      <w:t>决定</w:t>
                    </w:r>
                  </w:p>
                </w:txbxContent>
              </v:textbox>
            </v:rect>
            <v:roundrect id="AutoShape 64" o:spid="_x0000_s2052" o:spt="2" style="position:absolute;left:5580;top:13896;height:564;width:1800;" fillcolor="#FFFFFF" filled="t" stroked="t" coordsize="21600,21600" arcsize="0.5">
              <v:path/>
              <v:fill on="t" color2="#FFFFFF" focussize="0,0"/>
              <v:stroke color="#000000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  <w:szCs w:val="18"/>
                      </w:rPr>
                      <w:t>办结</w:t>
                    </w:r>
                  </w:p>
                </w:txbxContent>
              </v:textbox>
            </v:roundrect>
            <v:shape id="文本框 5915" o:spid="_x0000_s2053" o:spt="202" type="#_x0000_t202" style="position:absolute;left:1980;top:12212;height:1392;width:2506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spacing w:line="240" w:lineRule="exact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1.擅自改动内容，制作文书不规范。</w:t>
                    </w:r>
                  </w:p>
                  <w:p>
                    <w:pPr>
                      <w:spacing w:line="240" w:lineRule="exact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2.不及时办结。</w:t>
                    </w:r>
                  </w:p>
                  <w:p>
                    <w:pPr>
                      <w:spacing w:line="240" w:lineRule="exact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3.未及时送达。</w:t>
                    </w:r>
                  </w:p>
                  <w:p>
                    <w:pPr>
                      <w:spacing w:line="240" w:lineRule="exact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风险等级：低</w:t>
                    </w:r>
                  </w:p>
                </w:txbxContent>
              </v:textbox>
            </v:shape>
            <v:shape id="Text Box 379" o:spid="_x0000_s2054" o:spt="202" type="#_x0000_t202" style="position:absolute;left:1994;top:6888;height:2340;width:2506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numPr>
                        <w:ilvl w:val="0"/>
                        <w:numId w:val="1"/>
                      </w:num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擅自增加或减少审查条件、程序。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2.对申报材料的审核把关不严，对重大质疑点，疏忽或故意隐瞒。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3.无原因超时办理。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4.故意刁难，附加有偿服务或指定中介服务。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风险等级：中</w:t>
                    </w:r>
                  </w:p>
                </w:txbxContent>
              </v:textbox>
            </v:shape>
            <v:shape id="Text Box 380" o:spid="_x0000_s2055" o:spt="202" type="#_x0000_t202" style="position:absolute;left:8460;top:12082;height:1650;width:2506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spacing w:line="240" w:lineRule="exact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1.严格执行文书制作操作规范。</w:t>
                    </w:r>
                  </w:p>
                  <w:p>
                    <w:pPr>
                      <w:spacing w:line="240" w:lineRule="exact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2.落实文书制作限时制。</w:t>
                    </w:r>
                  </w:p>
                  <w:p>
                    <w:pPr>
                      <w:spacing w:line="240" w:lineRule="exact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3.加强内部监管，落实责任追究。</w:t>
                    </w:r>
                  </w:p>
                  <w:p>
                    <w:pPr>
                      <w:spacing w:line="240" w:lineRule="exact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责任人：尹龙</w:t>
                    </w:r>
                  </w:p>
                </w:txbxContent>
              </v:textbox>
            </v:shape>
            <v:shape id="Text Box 381" o:spid="_x0000_s2056" o:spt="202" type="#_x0000_t202" style="position:absolute;left:8445;top:7064;height:2138;width:2548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1.量化审查标准，执行回避制度。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2.实行审批留痕制度。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3.定期抽查、集体评议。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4.加强纪检监察。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5.设立举报电话、举报箱和信访受理。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责任人：徐 勇</w:t>
                    </w:r>
                  </w:p>
                </w:txbxContent>
              </v:textbox>
            </v:shape>
            <v:rect id="Rectangle 76" o:spid="_x0000_s2057" o:spt="1" style="position:absolute;left:5760;top:7788;height:510;width:1531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pacing w:line="283" w:lineRule="auto"/>
                      <w:jc w:val="center"/>
                      <w:rPr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</w:txbxContent>
              </v:textbox>
            </v:rect>
            <v:shape id="Text Box 71" o:spid="_x0000_s2058" o:spt="202" type="#_x0000_t202" style="position:absolute;left:4860;top:7644;height:467;width:974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风险点</w:t>
                    </w:r>
                  </w:p>
                </w:txbxContent>
              </v:textbox>
            </v:shape>
            <v:line id="箭头 5919" o:spid="_x0000_s2059" o:spt="20" style="position:absolute;left:4598;top:8088;flip:x;height:11;width:1162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Text Box 385" o:spid="_x0000_s2060" o:spt="202" type="#_x0000_t202" style="position:absolute;left:7200;top:7644;height:474;width:118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防控措施</w:t>
                    </w:r>
                  </w:p>
                </w:txbxContent>
              </v:textbox>
            </v:shape>
            <v:line id="箭头 5926" o:spid="_x0000_s2061" o:spt="20" style="position:absolute;left:7298;top:8088;height:3;width:1162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rect id="Rectangle 52" o:spid="_x0000_s2062" o:spt="1" style="position:absolute;left:5670;top:5202;height:510;width:153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pacing w:line="283" w:lineRule="auto"/>
                      <w:jc w:val="center"/>
                      <w:rPr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hint="eastAsia"/>
                      </w:rPr>
                      <w:t>受理</w:t>
                    </w:r>
                  </w:p>
                </w:txbxContent>
              </v:textbox>
            </v:rect>
            <v:shape id="Text Box 388" o:spid="_x0000_s2063" o:spt="202" type="#_x0000_t202" style="position:absolute;left:1994;top:4469;height:1893;width:2506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numPr>
                        <w:ilvl w:val="0"/>
                        <w:numId w:val="2"/>
                      </w:numPr>
                      <w:spacing w:line="24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故意刁难申请人。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spacing w:line="24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不按规定程序受理。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spacing w:line="24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无原因超时办理。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spacing w:line="24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不能一次告知所需材料。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spacing w:line="24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不严格审查或故意让虚假资料通过。</w:t>
                    </w:r>
                  </w:p>
                  <w:p>
                    <w:pPr>
                      <w:spacing w:line="24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风险等级：低</w:t>
                    </w:r>
                  </w:p>
                </w:txbxContent>
              </v:textbox>
            </v:shape>
            <v:shape id="Text Box 389" o:spid="_x0000_s2064" o:spt="202" type="#_x0000_t202" style="position:absolute;left:8472;top:4134;height:2622;width:2508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1.建立受理单制度。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2.严格履行服务承诺制度，做到首问负责和一次性告知。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3.政务公开，明确工作程序、时限等，按照项目核准规定办理。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4.内部监督检查、投诉举报受理。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责任人：尹龙</w:t>
                    </w:r>
                  </w:p>
                </w:txbxContent>
              </v:textbox>
            </v:shape>
            <v:shape id="Text Box 390" o:spid="_x0000_s2065" o:spt="202" type="#_x0000_t202" style="position:absolute;left:4860;top:4944;height:467;width:974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风险点</w:t>
                    </w:r>
                  </w:p>
                </w:txbxContent>
              </v:textbox>
            </v:shape>
            <v:shape id="Text Box 391" o:spid="_x0000_s2066" o:spt="202" type="#_x0000_t202" style="position:absolute;left:7274;top:4944;height:474;width:118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7.19992125984252pt,1.27mm,7.19992125984252pt,1.27mm">
                <w:txbxContent>
                  <w:p>
                    <w:r>
                      <w:rPr>
                        <w:rFonts w:hint="eastAsia"/>
                      </w:rPr>
                      <w:t>防控措施</w:t>
                    </w:r>
                  </w:p>
                </w:txbxContent>
              </v:textbox>
            </v:shape>
            <v:line id="Line 392" o:spid="_x0000_s2067" o:spt="20" style="position:absolute;left:7200;top:5388;height:1;width:1161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Line 393" o:spid="_x0000_s2068" o:spt="20" style="position:absolute;left:4500;top:5388;flip:x;height:8;width:1162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AutoShape 25" o:spid="_x0000_s2069" o:spt="32" type="#_x0000_t32" style="position:absolute;left:6477;top:3744;flip:x;height:1560;width:3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AutoShape 395" o:spid="_x0000_s2070" o:spt="32" type="#_x0000_t32" style="position:absolute;left:6477;top:5688;flip:x;height:2184;width:3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AutoShape 396" o:spid="_x0000_s2071" o:spt="32" type="#_x0000_t32" style="position:absolute;left:6477;top:8388;flip:x;height:1560;width:3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AutoShape 397" o:spid="_x0000_s2072" o:spt="32" type="#_x0000_t32" style="position:absolute;left:6480;top:13056;height:780;width:1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AutoShape 398" o:spid="_x0000_s2073" o:spt="32" type="#_x0000_t32" style="position:absolute;left:6480;top:10488;height:2028;width:1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AutoShape 32" o:spid="_x0000_s2074" o:spt="117" type="#_x0000_t117" style="position:absolute;left:4500;top:3000;height:780;width:3960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beforeLines="50"/>
                      <w:jc w:val="both"/>
                      <w:rPr>
                        <w:rFonts w:hint="eastAsia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申请人提出申请（资料）</w:t>
                    </w:r>
                  </w:p>
                </w:txbxContent>
              </v:textbox>
            </v:shape>
            <v:line id="Line 400" o:spid="_x0000_s2075" o:spt="20" style="position:absolute;left:4598;top:10188;flip:x;height:11;width:1162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line id="Line 401" o:spid="_x0000_s2076" o:spt="20" style="position:absolute;left:7298;top:10188;height:3;width:1162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Text Box 402" o:spid="_x0000_s2077" o:spt="202" type="#_x0000_t202" style="position:absolute;left:4786;top:9744;height:467;width:974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风险点</w:t>
                    </w:r>
                  </w:p>
                </w:txbxContent>
              </v:textbox>
            </v:shape>
            <v:shape id="Text Box 403" o:spid="_x0000_s2078" o:spt="202" type="#_x0000_t202" style="position:absolute;left:7200;top:9744;height:474;width:118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防控措施</w:t>
                    </w:r>
                  </w:p>
                </w:txbxContent>
              </v:textbox>
            </v:shape>
            <v:shape id="Text Box 404" o:spid="_x0000_s2079" o:spt="202" type="#_x0000_t202" style="position:absolute;left:1994;top:9516;height:1404;width:2506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spacing w:line="240" w:lineRule="exact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1.擅自改变审查结论。</w:t>
                    </w:r>
                  </w:p>
                  <w:p>
                    <w:pPr>
                      <w:spacing w:line="240" w:lineRule="exact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2.违反程序、违规越权审核审批。</w:t>
                    </w:r>
                  </w:p>
                  <w:p>
                    <w:pPr>
                      <w:spacing w:line="240" w:lineRule="exact"/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3.对符合条件的不批准。</w:t>
                    </w:r>
                  </w:p>
                  <w:p>
                    <w:pPr>
                      <w:spacing w:line="24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风险等级：中</w:t>
                    </w:r>
                  </w:p>
                  <w:p>
                    <w:pPr>
                      <w:spacing w:line="240" w:lineRule="exact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rect id="Rectangle 405" o:spid="_x0000_s2080" o:spt="1" style="position:absolute;left:5760;top:12570;height:510;width:1531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pacing w:line="283" w:lineRule="auto"/>
                      <w:jc w:val="center"/>
                      <w:rPr>
                        <w:rFonts w:hint="eastAsia" w:eastAsia="宋体"/>
                        <w:color w:val="000000"/>
                        <w:kern w:val="0"/>
                        <w:lang w:val="zh-CN" w:eastAsia="zh-CN"/>
                      </w:rPr>
                    </w:pPr>
                    <w:r>
                      <w:rPr>
                        <w:rFonts w:hint="eastAsia"/>
                        <w:szCs w:val="18"/>
                        <w:lang w:eastAsia="zh-CN"/>
                      </w:rPr>
                      <w:t>市级拨付</w:t>
                    </w:r>
                  </w:p>
                </w:txbxContent>
              </v:textbox>
            </v:rect>
            <v:line id="Line 406" o:spid="_x0000_s2081" o:spt="20" style="position:absolute;left:4500;top:12889;flip:x;height:11;width:1162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Text Box 407" o:spid="_x0000_s2082" o:spt="202" type="#_x0000_t202" style="position:absolute;left:4860;top:12457;height:467;width:974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风险点</w:t>
                    </w:r>
                  </w:p>
                </w:txbxContent>
              </v:textbox>
            </v:shape>
            <v:line id="Line 408" o:spid="_x0000_s2083" o:spt="20" style="position:absolute;left:7298;top:12897;height:3;width:1162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Text Box 409" o:spid="_x0000_s2084" o:spt="202" type="#_x0000_t202" style="position:absolute;left:7245;top:12479;height:474;width:118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防控措施</w:t>
                    </w:r>
                  </w:p>
                </w:txbxContent>
              </v:textbox>
            </v:shape>
            <v:shape id="Text Box 410" o:spid="_x0000_s2085" o:spt="202" type="#_x0000_t202" style="position:absolute;left:8474;top:9494;height:1416;width:2506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7.19992125984252pt,1.27mm,7.19992125984252pt,1.27mm">
                <w:txbxContent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1.强化事后监管，发现并及时纠正审批过程中存在的问题。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2.严格执行责任追究制度。</w:t>
                    </w:r>
                  </w:p>
                  <w:p>
                    <w:pPr>
                      <w:spacing w:line="240" w:lineRule="exac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 w:cs="宋体"/>
                        <w:sz w:val="18"/>
                        <w:szCs w:val="18"/>
                      </w:rPr>
                      <w:t>责任人：薛 敏</w:t>
                    </w:r>
                  </w:p>
                </w:txbxContent>
              </v:textbox>
            </v:shape>
          </v:group>
        </w:pict>
      </w:r>
    </w:p>
    <w:p/>
    <w:p/>
    <w:p/>
    <w:p/>
    <w:p/>
    <w:p/>
    <w:p/>
    <w:p/>
    <w:p/>
    <w:p/>
    <w:p/>
    <w:p/>
    <w:p/>
    <w:p/>
    <w:p/>
    <w:p/>
    <w:p/>
    <w:p/>
    <w:p/>
    <w:p>
      <w:pPr>
        <w:rPr>
          <w:rFonts w:ascii="宋体" w:hAnsi="宋体" w:cs="宋体"/>
          <w:b/>
          <w:bCs/>
          <w:sz w:val="44"/>
          <w:szCs w:val="44"/>
        </w:rPr>
      </w:pPr>
    </w:p>
    <w:p>
      <w:pPr>
        <w:rPr>
          <w:rFonts w:ascii="宋体" w:hAnsi="宋体" w:cs="宋体"/>
          <w:b/>
          <w:bCs/>
          <w:sz w:val="44"/>
          <w:szCs w:val="44"/>
        </w:rPr>
      </w:pPr>
    </w:p>
    <w:p/>
    <w:p/>
    <w:p/>
    <w:p/>
    <w:p>
      <w:pPr>
        <w:tabs>
          <w:tab w:val="center" w:pos="4153"/>
        </w:tabs>
        <w:jc w:val="center"/>
        <w:rPr>
          <w:rFonts w:ascii="楷体" w:hAnsi="楷体" w:eastAsia="楷体" w:cs="宋体"/>
          <w:sz w:val="36"/>
          <w:szCs w:val="36"/>
        </w:rPr>
      </w:pPr>
    </w:p>
    <w:p>
      <w:pPr>
        <w:tabs>
          <w:tab w:val="center" w:pos="4153"/>
        </w:tabs>
        <w:jc w:val="center"/>
        <w:rPr>
          <w:rFonts w:ascii="楷体" w:hAnsi="楷体" w:eastAsia="楷体" w:cs="宋体"/>
          <w:b/>
          <w:sz w:val="32"/>
          <w:szCs w:val="32"/>
        </w:rPr>
      </w:pPr>
    </w:p>
    <w:p>
      <w:pPr>
        <w:tabs>
          <w:tab w:val="center" w:pos="4153"/>
        </w:tabs>
        <w:jc w:val="center"/>
        <w:rPr>
          <w:rFonts w:ascii="楷体" w:hAnsi="楷体" w:eastAsia="楷体" w:cs="宋体"/>
          <w:b/>
          <w:sz w:val="32"/>
          <w:szCs w:val="32"/>
        </w:rPr>
      </w:pPr>
    </w:p>
    <w:p>
      <w:pPr>
        <w:tabs>
          <w:tab w:val="center" w:pos="4153"/>
        </w:tabs>
        <w:jc w:val="center"/>
        <w:rPr>
          <w:rFonts w:ascii="楷体" w:hAnsi="楷体" w:eastAsia="楷体" w:cs="宋体"/>
          <w:b/>
          <w:sz w:val="32"/>
          <w:szCs w:val="32"/>
        </w:rPr>
      </w:pPr>
    </w:p>
    <w:p>
      <w:pPr>
        <w:tabs>
          <w:tab w:val="center" w:pos="4153"/>
        </w:tabs>
        <w:jc w:val="center"/>
        <w:rPr>
          <w:rFonts w:ascii="楷体" w:hAnsi="楷体" w:eastAsia="楷体" w:cs="宋体"/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7316"/>
    <w:rsid w:val="005C4165"/>
    <w:rsid w:val="00662F1D"/>
    <w:rsid w:val="007259D3"/>
    <w:rsid w:val="007A33F6"/>
    <w:rsid w:val="00DB7316"/>
    <w:rsid w:val="0F57596F"/>
    <w:rsid w:val="11764E42"/>
    <w:rsid w:val="38F4704D"/>
    <w:rsid w:val="39C86902"/>
    <w:rsid w:val="4F4849D8"/>
    <w:rsid w:val="4FD60579"/>
    <w:rsid w:val="57A04613"/>
    <w:rsid w:val="6C020083"/>
    <w:rsid w:val="7823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AutoShape 25"/>
        <o:r id="V:Rule2" type="connector" idref="#AutoShape 395"/>
        <o:r id="V:Rule3" type="connector" idref="#AutoShape 396"/>
        <o:r id="V:Rule4" type="connector" idref="#AutoShape 397"/>
        <o:r id="V:Rule5" type="connector" idref="#AutoShape 39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36</Characters>
  <Lines>1</Lines>
  <Paragraphs>1</Paragraphs>
  <TotalTime>2</TotalTime>
  <ScaleCrop>false</ScaleCrop>
  <LinksUpToDate>false</LinksUpToDate>
  <CharactersWithSpaces>41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2018-09-18T03:50:00Z</dcterms:created>
  <dc:creator>admin</dc:creator>
  <cp:lastModifiedBy>尹龙</cp:lastModifiedBy>
  <dcterms:modified xsi:type="dcterms:W3CDTF">2019-05-23T02:59:16Z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