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8B90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2023年新绛县一般公共预算“三公”经费</w:t>
      </w:r>
    </w:p>
    <w:p w14:paraId="513C63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决算执行情况说明</w:t>
      </w:r>
    </w:p>
    <w:p w14:paraId="42790342">
      <w:pPr>
        <w:jc w:val="center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tbl>
      <w:tblPr>
        <w:tblStyle w:val="2"/>
        <w:tblW w:w="9658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54"/>
        <w:gridCol w:w="579"/>
        <w:gridCol w:w="898"/>
        <w:gridCol w:w="1012"/>
        <w:gridCol w:w="1273"/>
        <w:gridCol w:w="1415"/>
        <w:gridCol w:w="1027"/>
      </w:tblGrid>
      <w:tr w14:paraId="10722C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3454" w:type="dxa"/>
            <w:noWrap/>
            <w:vAlign w:val="bottom"/>
          </w:tcPr>
          <w:p w14:paraId="69C6477D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</w:rPr>
            </w:pPr>
          </w:p>
        </w:tc>
        <w:tc>
          <w:tcPr>
            <w:tcW w:w="579" w:type="dxa"/>
            <w:noWrap/>
            <w:vAlign w:val="bottom"/>
          </w:tcPr>
          <w:p w14:paraId="05DB53C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</w:rPr>
            </w:pPr>
          </w:p>
        </w:tc>
        <w:tc>
          <w:tcPr>
            <w:tcW w:w="898" w:type="dxa"/>
            <w:noWrap/>
            <w:vAlign w:val="bottom"/>
          </w:tcPr>
          <w:p w14:paraId="74CACCC4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</w:rPr>
            </w:pPr>
          </w:p>
        </w:tc>
        <w:tc>
          <w:tcPr>
            <w:tcW w:w="1012" w:type="dxa"/>
            <w:noWrap/>
            <w:vAlign w:val="bottom"/>
          </w:tcPr>
          <w:p w14:paraId="3831A03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</w:rPr>
            </w:pPr>
          </w:p>
        </w:tc>
        <w:tc>
          <w:tcPr>
            <w:tcW w:w="1273" w:type="dxa"/>
            <w:noWrap/>
            <w:vAlign w:val="bottom"/>
          </w:tcPr>
          <w:p w14:paraId="36E521CF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bottom"/>
          </w:tcPr>
          <w:p w14:paraId="4A212450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szCs w:val="24"/>
              </w:rPr>
              <w:t>单位：万元</w:t>
            </w:r>
          </w:p>
        </w:tc>
      </w:tr>
      <w:tr w14:paraId="00F526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  <w:jc w:val="center"/>
        </w:trPr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AC43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项  目</w:t>
            </w:r>
          </w:p>
        </w:tc>
        <w:tc>
          <w:tcPr>
            <w:tcW w:w="5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659D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行次</w:t>
            </w:r>
          </w:p>
        </w:tc>
        <w:tc>
          <w:tcPr>
            <w:tcW w:w="89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98C41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预算数</w:t>
            </w:r>
          </w:p>
        </w:tc>
        <w:tc>
          <w:tcPr>
            <w:tcW w:w="101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EDB2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决算数</w:t>
            </w:r>
          </w:p>
        </w:tc>
        <w:tc>
          <w:tcPr>
            <w:tcW w:w="12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5644020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为预算的%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139703F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上年决算数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177CE5E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增减数</w:t>
            </w:r>
          </w:p>
        </w:tc>
      </w:tr>
      <w:tr w14:paraId="25532E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5B228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栏  次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DE2C5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18F3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ACAA0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2F85777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3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32F8C31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4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1F02AFA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5</w:t>
            </w:r>
          </w:p>
        </w:tc>
      </w:tr>
      <w:tr w14:paraId="015BFE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1B49E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一、“三公”经费支出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E915C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E702D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—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80C0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—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2CB95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—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4868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—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E59E6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—</w:t>
            </w:r>
          </w:p>
        </w:tc>
      </w:tr>
      <w:tr w14:paraId="1E85DB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CE3ED">
            <w:pPr>
              <w:widowControl/>
              <w:ind w:firstLine="220" w:firstLineChars="100"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支出合计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781F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A0668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401.00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146654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399.45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600B42B6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99.61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066F43BF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374.62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6E93E11C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24.83</w:t>
            </w:r>
          </w:p>
        </w:tc>
      </w:tr>
      <w:tr w14:paraId="38AF91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861EC6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 xml:space="preserve">  1．因公出国（境）费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6BF6E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3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5229C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10.00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F9E1A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0.00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1BA79556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0.00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07506C4E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0.00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24D60494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0.00</w:t>
            </w:r>
          </w:p>
        </w:tc>
      </w:tr>
      <w:tr w14:paraId="6B0F25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3AEE4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 xml:space="preserve">  2．公务用车购置及运行维护费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A3A9F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4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FD16D1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367.00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6E3ED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375.94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630AB928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102.44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6A1DBED5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349.92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5BFFDBF3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26.02</w:t>
            </w:r>
          </w:p>
        </w:tc>
      </w:tr>
      <w:tr w14:paraId="65CF14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60C279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 xml:space="preserve">    （1）公务用车购置费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F9656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5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9D4E5E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210.00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BA417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201.30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34FD35A5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95.86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46DFE906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178.70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096EA089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22.60</w:t>
            </w:r>
          </w:p>
        </w:tc>
      </w:tr>
      <w:tr w14:paraId="45CCD7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789E1C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 xml:space="preserve">    （2）公务用车运行维护费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0BC8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6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702DCE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157.00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D1B36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174.64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1ED9F546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111.24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670AB910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171.22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07D3525B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3.42</w:t>
            </w:r>
          </w:p>
        </w:tc>
      </w:tr>
      <w:tr w14:paraId="44812F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FF66D2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 xml:space="preserve">  3．公务接待费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12A3C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7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B73126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24.00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539252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23.51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0AFD7670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97.96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220504B7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24.70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2D05B102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-1.19</w:t>
            </w:r>
          </w:p>
        </w:tc>
      </w:tr>
      <w:tr w14:paraId="38EA3B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A6B64D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 xml:space="preserve">    （1）国内接待费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53E81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8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C2310F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24.00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6A458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23.51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793108E6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97.96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46E21008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24.70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20084DF6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-1.19</w:t>
            </w:r>
          </w:p>
        </w:tc>
      </w:tr>
      <w:tr w14:paraId="4C9CE0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52F886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 xml:space="preserve">         其中：外事接待费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1905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9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54E02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37509E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2C539127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4F7D5859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06814152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</w:tr>
      <w:tr w14:paraId="718B34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  <w:jc w:val="center"/>
        </w:trPr>
        <w:tc>
          <w:tcPr>
            <w:tcW w:w="34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1371BB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 xml:space="preserve">    （2）国（境）外接待费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4BD31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10</w:t>
            </w: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0A1444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  <w:tc>
          <w:tcPr>
            <w:tcW w:w="101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289B4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4D1E8070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  <w:tc>
          <w:tcPr>
            <w:tcW w:w="14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67064AF1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 w14:paraId="213E0006">
            <w:pPr>
              <w:widowControl/>
              <w:jc w:val="righ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</w:rPr>
              <w:t>　</w:t>
            </w:r>
          </w:p>
        </w:tc>
      </w:tr>
    </w:tbl>
    <w:p w14:paraId="23A2DBA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</w:rPr>
      </w:pPr>
    </w:p>
    <w:p w14:paraId="3C6549A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</w:rPr>
        <w:t>2023年度新绛县一般公共预算“三公”经费支出399.45万元，完成预算的99.61%，主要是由于公务用车购置完成预算的95.86%；比上年增加24.83万元，增长6.63%。</w:t>
      </w:r>
      <w:bookmarkStart w:id="0" w:name="_GoBack"/>
      <w:bookmarkEnd w:id="0"/>
    </w:p>
    <w:p w14:paraId="0D1DDA5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</w:rPr>
        <w:t>因公出国（境）费支出0万元，完成预算的0%， 与上年持平，因公出国（境）团组数为0个。</w:t>
      </w:r>
    </w:p>
    <w:p w14:paraId="43BA1E2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yellow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</w:rPr>
        <w:t>公务用车购置及运行维护费支出375.94万元，完成预算的102.44%，比上年增加26.02万元，增长7.44%。其中：公务用车购置费支出201.3万元，完成预算的95.86%，比上年增长22.6万元，增长12.65%，增加的主要原因：机关事务服务中心公务用车购置增加；公务用车运行维护费支出174.64万元，完成预算的111.24%，比上年增加3.42万元，增长2%，增加的主要原因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  <w:lang w:eastAsia="zh-CN"/>
        </w:rPr>
        <w:t>：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</w:rPr>
        <w:t>一是机关事务服务中心公务用车平台使用辆增加；二是公安局扫黑除恶、打击电诈、夏季行动等专项行动公务用车运行维护费支出增加。</w:t>
      </w:r>
    </w:p>
    <w:p w14:paraId="26A8ACC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</w:rPr>
        <w:t>公务接待费支出23.51万元，完成预算的97.96%，比上年减少1.19万元，降低4.82%，减少的主要原因: 公务接待人数减少，公务接待管理进一步规范。</w:t>
      </w:r>
    </w:p>
    <w:p w14:paraId="0991ABD6"/>
    <w:sectPr>
      <w:pgSz w:w="11906" w:h="16838"/>
      <w:pgMar w:top="1701" w:right="1701" w:bottom="1701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NhODBhY2ZkMGQ3MmYxMDJiOGJhNjJhNThhZTI0MDEifQ=="/>
  </w:docVars>
  <w:rsids>
    <w:rsidRoot w:val="7B885B73"/>
    <w:rsid w:val="5B1E6348"/>
    <w:rsid w:val="787A05FA"/>
    <w:rsid w:val="7B88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571</Words>
  <Characters>818</Characters>
  <Lines>0</Lines>
  <Paragraphs>0</Paragraphs>
  <TotalTime>15</TotalTime>
  <ScaleCrop>false</ScaleCrop>
  <LinksUpToDate>false</LinksUpToDate>
  <CharactersWithSpaces>865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2024-09-15T10:05:00Z</dcterms:created>
  <dc:creator>蛰伏</dc:creator>
  <cp:lastModifiedBy>蛰伏</cp:lastModifiedBy>
  <dcterms:modified xsi:type="dcterms:W3CDTF">2024-09-18T03:24:10Z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F2C6837DFB0B4709982D6F21D7647276_11</vt:lpwstr>
  </property>
</Properties>
</file>