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t>2022年种业监管执法年任务完成情况表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0" w:firstLineChars="0"/>
        <w:jc w:val="both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val="en-US" w:eastAsia="zh-CN"/>
        </w:rPr>
        <w:t>填表单位：                                            填表日期：   年    月    日</w:t>
      </w:r>
    </w:p>
    <w:tbl>
      <w:tblPr>
        <w:tblStyle w:val="3"/>
        <w:tblpPr w:leftFromText="180" w:rightFromText="180" w:vertAnchor="text" w:horzAnchor="page" w:tblpX="1824" w:tblpY="217"/>
        <w:tblOverlap w:val="never"/>
        <w:tblW w:w="12839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622"/>
        <w:gridCol w:w="1335"/>
        <w:gridCol w:w="1758"/>
        <w:gridCol w:w="1813"/>
        <w:gridCol w:w="1619"/>
        <w:gridCol w:w="1650"/>
        <w:gridCol w:w="2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99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  <w:t>内容</w:t>
            </w:r>
          </w:p>
        </w:tc>
        <w:tc>
          <w:tcPr>
            <w:tcW w:w="118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  <w:t>县级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对县级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发证种子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企业检查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覆盖率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对种子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门店抽查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覆盖率</w:t>
            </w:r>
          </w:p>
        </w:tc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对门店备案品种抽样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覆盖率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企业及门店检查问题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整改率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辖区内生产经营主体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备案率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生产经营主体经营品种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备案率</w:t>
            </w:r>
          </w:p>
        </w:tc>
        <w:tc>
          <w:tcPr>
            <w:tcW w:w="2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达到移送条件的案件向公安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w w:val="100"/>
                <w:sz w:val="32"/>
                <w:szCs w:val="32"/>
              </w:rPr>
              <w:t>移送率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  <w:t>完成 情况</w:t>
            </w:r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  <w:t>注：“完成情况”一栏按照工作完成情况据实填写，应填写具体数值，不可填写“是”或“否”。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61DC6"/>
    <w:rsid w:val="669D7875"/>
    <w:rsid w:val="69761D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2022-06-22T08:41:00Z</dcterms:created>
  <dc:creator>Administrator</dc:creator>
  <cp:lastModifiedBy>Administrator</cp:lastModifiedBy>
  <dcterms:modified xsi:type="dcterms:W3CDTF">2022-06-22T08:43:36Z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