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line="480" w:lineRule="auto"/>
        <w:jc w:val="center"/>
        <w:textAlignment w:val="auto"/>
        <w:outlineLvl w:val="0"/>
        <w:rPr>
          <w:rFonts w:hint="eastAsia" w:ascii="仿宋" w:hAnsi="仿宋" w:eastAsia="仿宋" w:cs="仿宋"/>
          <w:b/>
          <w:bCs/>
          <w:color w:val="auto"/>
          <w:sz w:val="44"/>
          <w:szCs w:val="44"/>
        </w:rPr>
      </w:pPr>
      <w:bookmarkStart w:id="0" w:name="_Toc5715"/>
      <w:r>
        <w:rPr>
          <w:rFonts w:hint="eastAsia" w:ascii="仿宋" w:hAnsi="仿宋" w:eastAsia="仿宋" w:cs="仿宋"/>
          <w:b/>
          <w:bCs/>
          <w:color w:val="auto"/>
          <w:sz w:val="44"/>
          <w:szCs w:val="44"/>
          <w:lang w:eastAsia="zh-CN"/>
        </w:rPr>
        <w:t>新绛</w:t>
      </w:r>
      <w:r>
        <w:rPr>
          <w:rFonts w:hint="eastAsia" w:ascii="仿宋" w:hAnsi="仿宋" w:eastAsia="仿宋" w:cs="仿宋"/>
          <w:b/>
          <w:bCs/>
          <w:color w:val="auto"/>
          <w:sz w:val="44"/>
          <w:szCs w:val="44"/>
        </w:rPr>
        <w:t>县</w:t>
      </w:r>
      <w:r>
        <w:rPr>
          <w:rFonts w:hint="eastAsia" w:ascii="仿宋" w:hAnsi="仿宋" w:eastAsia="仿宋" w:cs="仿宋"/>
          <w:b/>
          <w:bCs/>
          <w:color w:val="auto"/>
          <w:sz w:val="44"/>
          <w:szCs w:val="44"/>
          <w:lang w:val="en-US" w:eastAsia="zh-CN"/>
        </w:rPr>
        <w:t>2021年</w:t>
      </w:r>
      <w:r>
        <w:rPr>
          <w:rFonts w:hint="eastAsia" w:ascii="仿宋" w:hAnsi="仿宋" w:eastAsia="仿宋" w:cs="仿宋"/>
          <w:b/>
          <w:bCs/>
          <w:color w:val="auto"/>
          <w:sz w:val="44"/>
          <w:szCs w:val="44"/>
        </w:rPr>
        <w:t>土地征收成片</w:t>
      </w:r>
      <w:bookmarkEnd w:id="0"/>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default" w:ascii="方正小标宋简体" w:hAnsi="方正小标宋简体" w:eastAsia="方正小标宋简体" w:cs="方正小标宋简体"/>
          <w:b/>
          <w:bCs/>
          <w:color w:val="auto"/>
          <w:sz w:val="44"/>
          <w:szCs w:val="44"/>
          <w:lang w:val="en-US"/>
        </w:rPr>
      </w:pPr>
      <w:bookmarkStart w:id="1" w:name="_Toc3920"/>
      <w:r>
        <w:rPr>
          <w:rFonts w:hint="eastAsia" w:ascii="仿宋" w:hAnsi="仿宋" w:eastAsia="仿宋" w:cs="仿宋"/>
          <w:b/>
          <w:bCs/>
          <w:color w:val="auto"/>
          <w:sz w:val="44"/>
          <w:szCs w:val="44"/>
        </w:rPr>
        <w:t>开发方</w:t>
      </w:r>
      <w:r>
        <w:rPr>
          <w:rFonts w:hint="eastAsia" w:ascii="仿宋" w:hAnsi="仿宋" w:eastAsia="仿宋" w:cs="仿宋"/>
          <w:b/>
          <w:bCs/>
          <w:color w:val="auto"/>
          <w:sz w:val="44"/>
          <w:szCs w:val="44"/>
          <w:lang w:eastAsia="zh-CN"/>
        </w:rPr>
        <w:t>案</w:t>
      </w:r>
      <w:bookmarkEnd w:id="1"/>
      <w:r>
        <w:rPr>
          <w:rFonts w:hint="eastAsia" w:ascii="仿宋" w:hAnsi="仿宋" w:eastAsia="仿宋" w:cs="仿宋"/>
          <w:b/>
          <w:bCs/>
          <w:color w:val="auto"/>
          <w:sz w:val="44"/>
          <w:szCs w:val="44"/>
          <w:lang w:val="en-US" w:eastAsia="zh-CN"/>
        </w:rPr>
        <w:t>(征求意见稿)</w:t>
      </w:r>
    </w:p>
    <w:p>
      <w:pPr>
        <w:keepNext w:val="0"/>
        <w:keepLines w:val="0"/>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bCs/>
          <w:color w:val="auto"/>
          <w:sz w:val="32"/>
          <w:szCs w:val="32"/>
        </w:rPr>
      </w:pP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hint="eastAsia" w:ascii="仿宋" w:hAnsi="仿宋" w:eastAsia="仿宋" w:cs="仿宋"/>
          <w:b/>
          <w:bCs/>
          <w:color w:val="auto"/>
          <w:sz w:val="40"/>
          <w:szCs w:val="40"/>
          <w:lang w:val="en-US" w:eastAsia="zh-CN"/>
        </w:rPr>
      </w:pPr>
      <w:r>
        <w:rPr>
          <w:rFonts w:hint="eastAsia" w:ascii="仿宋" w:hAnsi="仿宋" w:eastAsia="仿宋" w:cs="仿宋"/>
          <w:b/>
          <w:bCs/>
          <w:color w:val="auto"/>
          <w:sz w:val="40"/>
          <w:szCs w:val="40"/>
          <w:lang w:val="en-US" w:eastAsia="zh-CN"/>
        </w:rPr>
        <w:t>前   言</w:t>
      </w:r>
    </w:p>
    <w:p>
      <w:pPr>
        <w:keepNext w:val="0"/>
        <w:keepLines w:val="0"/>
        <w:pageBreakBefore w:val="0"/>
        <w:widowControl w:val="0"/>
        <w:kinsoku/>
        <w:wordWrap/>
        <w:overflowPunct/>
        <w:topLinePunct w:val="0"/>
        <w:autoSpaceDE/>
        <w:autoSpaceDN/>
        <w:bidi w:val="0"/>
        <w:spacing w:line="360" w:lineRule="auto"/>
        <w:ind w:firstLine="64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为</w:t>
      </w:r>
      <w:r>
        <w:rPr>
          <w:rFonts w:hint="eastAsia" w:ascii="仿宋" w:hAnsi="仿宋" w:eastAsia="仿宋" w:cs="仿宋"/>
          <w:color w:val="auto"/>
          <w:sz w:val="32"/>
          <w:szCs w:val="32"/>
          <w:lang w:eastAsia="zh-CN"/>
        </w:rPr>
        <w:t>促进新绛</w:t>
      </w:r>
      <w:r>
        <w:rPr>
          <w:rFonts w:hint="eastAsia" w:ascii="仿宋" w:hAnsi="仿宋" w:eastAsia="仿宋" w:cs="仿宋"/>
          <w:color w:val="auto"/>
          <w:sz w:val="32"/>
          <w:szCs w:val="32"/>
        </w:rPr>
        <w:t>县</w:t>
      </w:r>
      <w:r>
        <w:rPr>
          <w:rFonts w:hint="eastAsia" w:ascii="仿宋" w:hAnsi="仿宋" w:eastAsia="仿宋" w:cs="仿宋"/>
          <w:color w:val="auto"/>
          <w:sz w:val="32"/>
          <w:szCs w:val="32"/>
          <w:lang w:eastAsia="zh-CN"/>
        </w:rPr>
        <w:t>经济社会高质量发展，保障建设用地供给，</w:t>
      </w:r>
      <w:r>
        <w:rPr>
          <w:rFonts w:hint="eastAsia" w:ascii="仿宋" w:hAnsi="仿宋" w:eastAsia="仿宋" w:cs="仿宋"/>
          <w:color w:val="auto"/>
          <w:sz w:val="32"/>
          <w:szCs w:val="32"/>
        </w:rPr>
        <w:t>保护被征收人的合法权益，</w:t>
      </w:r>
      <w:r>
        <w:rPr>
          <w:rFonts w:hint="eastAsia" w:ascii="仿宋" w:hAnsi="仿宋" w:eastAsia="仿宋" w:cs="仿宋"/>
          <w:color w:val="auto"/>
          <w:sz w:val="32"/>
          <w:szCs w:val="32"/>
          <w:lang w:val="en-US" w:eastAsia="zh-CN"/>
        </w:rPr>
        <w:t>规范</w:t>
      </w:r>
      <w:r>
        <w:rPr>
          <w:rFonts w:hint="eastAsia" w:ascii="仿宋" w:hAnsi="仿宋" w:eastAsia="仿宋" w:cs="仿宋"/>
          <w:color w:val="auto"/>
          <w:sz w:val="32"/>
          <w:szCs w:val="32"/>
          <w:lang w:eastAsia="zh-CN"/>
        </w:rPr>
        <w:t>新绛</w:t>
      </w:r>
      <w:r>
        <w:rPr>
          <w:rFonts w:hint="eastAsia" w:ascii="仿宋" w:hAnsi="仿宋" w:eastAsia="仿宋" w:cs="仿宋"/>
          <w:color w:val="auto"/>
          <w:sz w:val="32"/>
          <w:szCs w:val="32"/>
        </w:rPr>
        <w:t>县</w:t>
      </w:r>
      <w:r>
        <w:rPr>
          <w:rFonts w:hint="eastAsia" w:ascii="仿宋" w:hAnsi="仿宋" w:eastAsia="仿宋" w:cs="仿宋"/>
          <w:color w:val="auto"/>
          <w:sz w:val="32"/>
          <w:szCs w:val="32"/>
          <w:lang w:val="en-US" w:eastAsia="zh-CN"/>
        </w:rPr>
        <w:t>土地征收成片开发行为，</w:t>
      </w:r>
      <w:r>
        <w:rPr>
          <w:rFonts w:hint="eastAsia" w:ascii="仿宋" w:hAnsi="仿宋" w:eastAsia="仿宋" w:cs="仿宋"/>
          <w:color w:val="auto"/>
          <w:sz w:val="32"/>
          <w:szCs w:val="32"/>
        </w:rPr>
        <w:t>根据《山西省土地征收成片开发标准实施细则（试行）》要求，制定《</w:t>
      </w:r>
      <w:r>
        <w:rPr>
          <w:rFonts w:hint="eastAsia" w:ascii="仿宋" w:hAnsi="仿宋" w:eastAsia="仿宋" w:cs="仿宋"/>
          <w:color w:val="auto"/>
          <w:sz w:val="32"/>
          <w:szCs w:val="32"/>
          <w:lang w:eastAsia="zh-CN"/>
        </w:rPr>
        <w:t>新绛</w:t>
      </w:r>
      <w:r>
        <w:rPr>
          <w:rFonts w:hint="eastAsia" w:ascii="仿宋" w:hAnsi="仿宋" w:eastAsia="仿宋" w:cs="仿宋"/>
          <w:color w:val="auto"/>
          <w:sz w:val="32"/>
          <w:szCs w:val="32"/>
        </w:rPr>
        <w:t>县</w:t>
      </w:r>
      <w:r>
        <w:rPr>
          <w:rFonts w:hint="eastAsia" w:ascii="仿宋" w:hAnsi="仿宋" w:eastAsia="仿宋" w:cs="仿宋"/>
          <w:color w:val="auto"/>
          <w:sz w:val="32"/>
          <w:szCs w:val="32"/>
          <w:lang w:val="en-US" w:eastAsia="zh-CN"/>
        </w:rPr>
        <w:t>2021年</w:t>
      </w:r>
      <w:r>
        <w:rPr>
          <w:rFonts w:hint="eastAsia" w:ascii="仿宋" w:hAnsi="仿宋" w:eastAsia="仿宋" w:cs="仿宋"/>
          <w:color w:val="auto"/>
          <w:sz w:val="32"/>
          <w:szCs w:val="32"/>
        </w:rPr>
        <w:t>土地征收成片开发方案》（以下简称《方案》）。</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0"/>
        <w:rPr>
          <w:rFonts w:hint="eastAsia" w:ascii="仿宋" w:hAnsi="仿宋" w:eastAsia="仿宋" w:cs="仿宋"/>
          <w:color w:val="auto"/>
          <w:sz w:val="32"/>
          <w:szCs w:val="32"/>
        </w:rPr>
      </w:pPr>
      <w:bookmarkStart w:id="2" w:name="_Toc28058"/>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概述</w:t>
      </w:r>
      <w:bookmarkEnd w:id="2"/>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1"/>
        <w:rPr>
          <w:rFonts w:hint="eastAsia" w:ascii="仿宋" w:hAnsi="仿宋" w:eastAsia="仿宋" w:cs="仿宋"/>
          <w:color w:val="auto"/>
          <w:sz w:val="32"/>
          <w:szCs w:val="32"/>
        </w:rPr>
      </w:pPr>
      <w:bookmarkStart w:id="3" w:name="_Toc5038"/>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编制背景</w:t>
      </w:r>
      <w:bookmarkEnd w:id="3"/>
    </w:p>
    <w:p>
      <w:pPr>
        <w:keepNext w:val="0"/>
        <w:keepLines w:val="0"/>
        <w:pageBreakBefore w:val="0"/>
        <w:widowControl w:val="0"/>
        <w:kinsoku/>
        <w:wordWrap/>
        <w:overflowPunct/>
        <w:topLinePunct w:val="0"/>
        <w:autoSpaceDE/>
        <w:autoSpaceDN/>
        <w:bidi w:val="0"/>
        <w:spacing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根据新修订的《中华人民共和国土地管理法》、自然资源部关于印发《土地征收成片开发标准（试行）》的通知（自然资规〔2020〕5号）、</w:t>
      </w:r>
      <w:r>
        <w:rPr>
          <w:rFonts w:hint="eastAsia" w:ascii="仿宋" w:hAnsi="仿宋" w:eastAsia="仿宋" w:cs="仿宋"/>
          <w:color w:val="auto"/>
          <w:sz w:val="32"/>
          <w:szCs w:val="32"/>
          <w:highlight w:val="none"/>
          <w:lang w:eastAsia="zh-CN"/>
        </w:rPr>
        <w:t>山西</w:t>
      </w:r>
      <w:r>
        <w:rPr>
          <w:rFonts w:hint="eastAsia" w:ascii="仿宋" w:hAnsi="仿宋" w:eastAsia="仿宋" w:cs="仿宋"/>
          <w:color w:val="auto"/>
          <w:sz w:val="32"/>
          <w:szCs w:val="32"/>
          <w:highlight w:val="none"/>
        </w:rPr>
        <w:t>省自然资源厅关于</w:t>
      </w:r>
      <w:r>
        <w:rPr>
          <w:rFonts w:hint="eastAsia" w:ascii="仿宋" w:hAnsi="仿宋" w:eastAsia="仿宋" w:cs="仿宋"/>
          <w:color w:val="auto"/>
          <w:sz w:val="32"/>
          <w:szCs w:val="32"/>
          <w:highlight w:val="none"/>
          <w:lang w:eastAsia="zh-CN"/>
        </w:rPr>
        <w:t>印发</w:t>
      </w:r>
      <w:r>
        <w:rPr>
          <w:rFonts w:hint="eastAsia" w:ascii="仿宋" w:hAnsi="仿宋" w:eastAsia="仿宋" w:cs="仿宋"/>
          <w:color w:val="auto"/>
          <w:sz w:val="32"/>
          <w:szCs w:val="32"/>
          <w:highlight w:val="none"/>
          <w:lang w:val="en-US" w:eastAsia="zh-CN"/>
        </w:rPr>
        <w:t>《山西省土地征收成片开发标准实施细则（细则）》</w:t>
      </w:r>
      <w:r>
        <w:rPr>
          <w:rFonts w:hint="eastAsia" w:ascii="仿宋" w:hAnsi="仿宋" w:eastAsia="仿宋" w:cs="仿宋"/>
          <w:color w:val="auto"/>
          <w:sz w:val="32"/>
          <w:szCs w:val="32"/>
          <w:highlight w:val="none"/>
          <w:lang w:eastAsia="zh-CN"/>
        </w:rPr>
        <w:t>、山西省自然资源厅关于印发《山西省土地征收成片开发方案编制技术指南（试行）》</w:t>
      </w:r>
      <w:r>
        <w:rPr>
          <w:rFonts w:hint="eastAsia" w:ascii="仿宋" w:hAnsi="仿宋" w:eastAsia="仿宋" w:cs="仿宋"/>
          <w:color w:val="auto"/>
          <w:sz w:val="32"/>
          <w:szCs w:val="32"/>
          <w:highlight w:val="none"/>
        </w:rPr>
        <w:t>的相关要求，为落实文件精神，通过开展土地征收成片开发工作，合理划定近期土地征收报批范围，统筹安排公益性用地和非公益性用地，有序安排土地征收报批时序，促进土地集约节约利用，并将其作为土地征收的报批依据，保障农民的合法权益。</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此次政策实际上是新土地管理法实施后较为重大的政策，土地征收成片开发，有利于充分保障被征收农村集体经济组织和农民的合法权益，有利于落实最严格的耕地保护制度和集约节约用地制度，充分发挥好土地的综合效益。所以此次自然资源部门编制方案，具有非常重要的意义，指导了后续土地的开发利用，也防范随意侵占农村用地的现象出现，既有助于农村土地市场的更好盘活，又丰富了用地来源，对进一步实施成片开发工作具有重要指导意义。</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1"/>
        <w:rPr>
          <w:rFonts w:hint="eastAsia" w:ascii="仿宋" w:hAnsi="仿宋" w:eastAsia="仿宋" w:cs="仿宋"/>
          <w:color w:val="auto"/>
          <w:sz w:val="32"/>
          <w:szCs w:val="32"/>
        </w:rPr>
      </w:pPr>
      <w:bookmarkStart w:id="4" w:name="_Toc18571"/>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编制原则</w:t>
      </w:r>
      <w:bookmarkEnd w:id="4"/>
    </w:p>
    <w:p>
      <w:pPr>
        <w:keepNext w:val="0"/>
        <w:keepLines w:val="0"/>
        <w:pageBreakBefore w:val="0"/>
        <w:widowControl w:val="0"/>
        <w:kinsoku/>
        <w:wordWrap/>
        <w:overflowPunct/>
        <w:topLinePunct w:val="0"/>
        <w:autoSpaceDE/>
        <w:autoSpaceDN/>
        <w:bidi w:val="0"/>
        <w:spacing w:line="360" w:lineRule="auto"/>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合法合规性原则</w:t>
      </w:r>
      <w:r>
        <w:rPr>
          <w:rFonts w:hint="eastAsia" w:ascii="仿宋" w:hAnsi="仿宋" w:eastAsia="仿宋" w:cs="仿宋"/>
          <w:color w:val="auto"/>
          <w:sz w:val="32"/>
          <w:szCs w:val="32"/>
        </w:rPr>
        <w:t>。土地征收成片开发方案应遵循相关法律、法规的规定，注重保护耕地，不占永久基本农田，不占生态保护红线。成片开发应当符合国民经济和社会发展规划、国土空间规划，应当符合“三线一单”生态环境管控要求，应当纳入当地国民经济和社会发展年度计划，并符合国家产业政策和供地政策。</w:t>
      </w:r>
    </w:p>
    <w:p>
      <w:pPr>
        <w:keepNext w:val="0"/>
        <w:keepLines w:val="0"/>
        <w:pageBreakBefore w:val="0"/>
        <w:widowControl w:val="0"/>
        <w:kinsoku/>
        <w:wordWrap/>
        <w:overflowPunct/>
        <w:topLinePunct w:val="0"/>
        <w:autoSpaceDE/>
        <w:autoSpaceDN/>
        <w:bidi w:val="0"/>
        <w:spacing w:line="360" w:lineRule="auto"/>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突出公益性原则</w:t>
      </w:r>
      <w:r>
        <w:rPr>
          <w:rFonts w:hint="eastAsia" w:ascii="仿宋" w:hAnsi="仿宋" w:eastAsia="仿宋" w:cs="仿宋"/>
          <w:color w:val="auto"/>
          <w:sz w:val="32"/>
          <w:szCs w:val="32"/>
        </w:rPr>
        <w:t>。土地征收成片开发要以人民为中心，为了公共利益的需要，兼顾群众的现实和长远利益，维护群众合法权益，充分征求成片开发范围内农村集体经济组织和农民的意见。提高成片开发范围内基础设施、公共服务设施以及其他公益性用地的比例。</w:t>
      </w:r>
    </w:p>
    <w:p>
      <w:pPr>
        <w:keepNext w:val="0"/>
        <w:keepLines w:val="0"/>
        <w:pageBreakBefore w:val="0"/>
        <w:widowControl w:val="0"/>
        <w:kinsoku/>
        <w:wordWrap/>
        <w:overflowPunct/>
        <w:topLinePunct w:val="0"/>
        <w:autoSpaceDE/>
        <w:autoSpaceDN/>
        <w:bidi w:val="0"/>
        <w:spacing w:line="360" w:lineRule="auto"/>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科学合理和可操作性原则</w:t>
      </w:r>
      <w:r>
        <w:rPr>
          <w:rFonts w:hint="eastAsia" w:ascii="仿宋" w:hAnsi="仿宋" w:eastAsia="仿宋" w:cs="仿宋"/>
          <w:color w:val="auto"/>
          <w:sz w:val="32"/>
          <w:szCs w:val="32"/>
        </w:rPr>
        <w:t>。土地征收成片开发应当坚持新发展理念，立足城市的长远发展，根据土地经济规律、社会经济发展和市场需求，注重节约集约用地，注重生态环境保护，并通过深度分析和科学论证，确定成片开发的规模和范围;土地征收成片开发方案，坚持政府主导、市场推动、公众参与，处理好政府管理和市场行为对城市建设的调节作用，促进当地社会经济可持续发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1"/>
        <w:rPr>
          <w:rFonts w:hint="eastAsia" w:ascii="仿宋" w:hAnsi="仿宋" w:eastAsia="仿宋" w:cs="仿宋"/>
          <w:color w:val="auto"/>
          <w:sz w:val="32"/>
          <w:szCs w:val="32"/>
          <w:highlight w:val="none"/>
        </w:rPr>
      </w:pPr>
      <w:bookmarkStart w:id="5" w:name="_Toc14036"/>
      <w:r>
        <w:rPr>
          <w:rFonts w:hint="eastAsia" w:ascii="仿宋" w:hAnsi="仿宋" w:eastAsia="仿宋" w:cs="仿宋"/>
          <w:color w:val="auto"/>
          <w:sz w:val="32"/>
          <w:szCs w:val="32"/>
          <w:highlight w:val="none"/>
          <w:lang w:val="en-US" w:eastAsia="zh-CN"/>
        </w:rPr>
        <w:t>1.3</w:t>
      </w:r>
      <w:r>
        <w:rPr>
          <w:rFonts w:hint="eastAsia" w:ascii="仿宋" w:hAnsi="仿宋" w:eastAsia="仿宋" w:cs="仿宋"/>
          <w:color w:val="auto"/>
          <w:sz w:val="32"/>
          <w:szCs w:val="32"/>
          <w:highlight w:val="none"/>
        </w:rPr>
        <w:t>编制依据</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1.3.1</w:t>
      </w:r>
      <w:r>
        <w:rPr>
          <w:rFonts w:hint="eastAsia" w:ascii="仿宋" w:hAnsi="仿宋" w:eastAsia="仿宋" w:cs="仿宋"/>
          <w:sz w:val="32"/>
          <w:szCs w:val="32"/>
          <w:lang w:val="en-US"/>
        </w:rPr>
        <w:t>《中华人民共和国土地管理法》</w:t>
      </w:r>
      <w:r>
        <w:rPr>
          <w:rFonts w:hint="eastAsia" w:ascii="仿宋" w:hAnsi="仿宋" w:eastAsia="仿宋" w:cs="仿宋"/>
          <w:sz w:val="32"/>
          <w:szCs w:val="32"/>
          <w:lang w:val="en-US" w:eastAsia="zh-CN"/>
        </w:rPr>
        <w:t>（2019年修订）；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1.3.2《中华人民共和国土地管理法实施条例》（2021年9月）；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1.3.3《中华人民共和国城乡规划法》（2019年第二次修订）；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1.3.4</w:t>
      </w:r>
      <w:r>
        <w:rPr>
          <w:rFonts w:hint="eastAsia" w:ascii="仿宋" w:hAnsi="仿宋" w:eastAsia="仿宋" w:cs="仿宋"/>
          <w:sz w:val="32"/>
          <w:szCs w:val="32"/>
          <w:lang w:val="en-US"/>
        </w:rPr>
        <w:t>《自然资源部办公厅关于印发（国土空间调查、规划、用途管制用地用海分类指南（试行））》自然资办发（2020）51号；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1.3.5</w:t>
      </w:r>
      <w:r>
        <w:rPr>
          <w:rFonts w:hint="eastAsia" w:ascii="仿宋" w:hAnsi="仿宋" w:eastAsia="仿宋" w:cs="仿宋"/>
          <w:sz w:val="32"/>
          <w:szCs w:val="32"/>
          <w:lang w:val="en-US"/>
        </w:rPr>
        <w:t>《自然资源部关于印发〈土地征收成片开发标准(试行)〉的通知》(自然资规〔2020〕15号)</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1.3.6</w:t>
      </w:r>
      <w:r>
        <w:rPr>
          <w:rFonts w:hint="eastAsia" w:ascii="仿宋" w:hAnsi="仿宋" w:eastAsia="仿宋" w:cs="仿宋"/>
          <w:sz w:val="32"/>
          <w:szCs w:val="32"/>
          <w:lang w:val="en-US"/>
        </w:rPr>
        <w:t>《山西省土地征收成片开发标准实施细则（</w:t>
      </w:r>
      <w:r>
        <w:rPr>
          <w:rFonts w:hint="eastAsia" w:ascii="仿宋" w:hAnsi="仿宋" w:eastAsia="仿宋" w:cs="仿宋"/>
          <w:sz w:val="32"/>
          <w:szCs w:val="32"/>
          <w:lang w:val="en-US" w:eastAsia="zh-CN"/>
        </w:rPr>
        <w:t>试行</w:t>
      </w:r>
      <w:r>
        <w:rPr>
          <w:rFonts w:hint="eastAsia" w:ascii="仿宋" w:hAnsi="仿宋" w:eastAsia="仿宋" w:cs="仿宋"/>
          <w:sz w:val="32"/>
          <w:szCs w:val="32"/>
          <w:lang w:val="en-US"/>
        </w:rPr>
        <w:t>）》（晋自然资发（2021）28号）</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1.3.7</w:t>
      </w:r>
      <w:r>
        <w:rPr>
          <w:rFonts w:hint="eastAsia" w:ascii="仿宋" w:hAnsi="仿宋" w:eastAsia="仿宋" w:cs="仿宋"/>
          <w:sz w:val="32"/>
          <w:szCs w:val="32"/>
          <w:lang w:val="en-US"/>
        </w:rPr>
        <w:t>山西省自然资源办公厅关于印发《山西省土地征收成片开发方案编制技术指南（试行）》的通知（晋自然资发[2021]30号）</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1.3.8《土地利用年度计划管理办法》（国土资源部令第37号）；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1.3.9《国务院关于促进节约集约用地的通知》（国发[2004]28号）；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1.3.10《新绛县国民经济和社会发展第十四个五年规划纲要》；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1.3.11</w:t>
      </w:r>
      <w:r>
        <w:rPr>
          <w:rFonts w:hint="eastAsia" w:ascii="仿宋" w:hAnsi="仿宋" w:eastAsia="仿宋" w:cs="仿宋"/>
          <w:sz w:val="32"/>
          <w:szCs w:val="32"/>
          <w:lang w:val="en-US"/>
        </w:rPr>
        <w:t>土地利用现状</w:t>
      </w:r>
      <w:r>
        <w:rPr>
          <w:rFonts w:hint="eastAsia" w:ascii="仿宋" w:hAnsi="仿宋" w:eastAsia="仿宋" w:cs="仿宋"/>
          <w:sz w:val="32"/>
          <w:szCs w:val="32"/>
          <w:lang w:val="en-US" w:eastAsia="zh-CN"/>
        </w:rPr>
        <w:t>资料、最新遥感影像;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1.3.12新绛县城镇开发边界、永久基本农田划定成果、生态保护红线成果、最新土地变更调查成果等资料；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1.3.13新绛县低效用地再开发规划成果；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1.3.14新绛县国土空间规划、土地利用总体规划、控制性详细规划、新绛县城总体规划；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1.3.15《新绛县城镇土地定级及基准地价更新技术报告》、《新绛县经济技术开发区土地定级及基准地价评估技术报告》；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1.3.16</w:t>
      </w:r>
      <w:r>
        <w:rPr>
          <w:rFonts w:hint="eastAsia" w:ascii="仿宋" w:hAnsi="仿宋" w:eastAsia="仿宋" w:cs="仿宋"/>
          <w:sz w:val="32"/>
          <w:szCs w:val="32"/>
          <w:lang w:val="en-US"/>
        </w:rPr>
        <w:t>批而未供</w:t>
      </w:r>
      <w:r>
        <w:rPr>
          <w:rFonts w:hint="eastAsia" w:ascii="仿宋" w:hAnsi="仿宋" w:eastAsia="仿宋" w:cs="仿宋"/>
          <w:sz w:val="32"/>
          <w:szCs w:val="32"/>
          <w:lang w:val="en-US" w:eastAsia="zh-CN"/>
        </w:rPr>
        <w:t>、闲置土地情况及上年度消化处置任务完成情况;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1.3.17 2020年11月5日以后属于成片开发土地征收的用地资料；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1.3.18</w:t>
      </w:r>
      <w:r>
        <w:rPr>
          <w:rFonts w:hint="eastAsia" w:ascii="仿宋" w:hAnsi="仿宋" w:eastAsia="仿宋" w:cs="仿宋"/>
          <w:sz w:val="32"/>
          <w:szCs w:val="32"/>
          <w:lang w:val="en-US"/>
        </w:rPr>
        <w:t>耕地占补平衡指标统筹情况。新增建设用地指标、新增建设占用耕地指标、新增建设占用农用地指标</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1.3.19</w:t>
      </w:r>
      <w:r>
        <w:rPr>
          <w:rFonts w:hint="eastAsia" w:ascii="仿宋" w:hAnsi="仿宋" w:eastAsia="仿宋" w:cs="仿宋"/>
          <w:sz w:val="32"/>
          <w:szCs w:val="32"/>
          <w:lang w:val="en-US"/>
        </w:rPr>
        <w:t>土地利用年度计划</w:t>
      </w:r>
      <w:r>
        <w:rPr>
          <w:rFonts w:hint="eastAsia" w:ascii="仿宋" w:hAnsi="仿宋" w:eastAsia="仿宋" w:cs="仿宋"/>
          <w:sz w:val="32"/>
          <w:szCs w:val="32"/>
          <w:lang w:val="en-US" w:eastAsia="zh-CN"/>
        </w:rPr>
        <w:t>、</w:t>
      </w:r>
      <w:r>
        <w:rPr>
          <w:rFonts w:hint="eastAsia" w:ascii="仿宋" w:hAnsi="仿宋" w:eastAsia="仿宋" w:cs="仿宋"/>
          <w:sz w:val="32"/>
          <w:szCs w:val="32"/>
          <w:lang w:val="en-US"/>
        </w:rPr>
        <w:t>土地权属调查成果</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1.3.20</w:t>
      </w:r>
      <w:r>
        <w:rPr>
          <w:rFonts w:hint="eastAsia" w:ascii="仿宋" w:hAnsi="仿宋" w:eastAsia="仿宋" w:cs="仿宋"/>
          <w:sz w:val="32"/>
          <w:szCs w:val="32"/>
          <w:lang w:val="en-US"/>
        </w:rPr>
        <w:t>最新基准地价成果</w:t>
      </w:r>
      <w:r>
        <w:rPr>
          <w:rFonts w:hint="eastAsia" w:ascii="仿宋" w:hAnsi="仿宋" w:eastAsia="仿宋" w:cs="仿宋"/>
          <w:sz w:val="32"/>
          <w:szCs w:val="32"/>
          <w:lang w:val="en-US" w:eastAsia="zh-CN"/>
        </w:rPr>
        <w:t>、</w:t>
      </w:r>
      <w:r>
        <w:rPr>
          <w:rFonts w:hint="eastAsia" w:ascii="仿宋" w:hAnsi="仿宋" w:eastAsia="仿宋" w:cs="仿宋"/>
          <w:sz w:val="32"/>
          <w:szCs w:val="32"/>
          <w:lang w:val="en-US"/>
        </w:rPr>
        <w:t>征地区片综合地价成果</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1.3.21</w:t>
      </w:r>
      <w:r>
        <w:rPr>
          <w:rFonts w:hint="eastAsia" w:ascii="仿宋" w:hAnsi="仿宋" w:eastAsia="仿宋" w:cs="仿宋"/>
          <w:sz w:val="32"/>
          <w:szCs w:val="32"/>
          <w:lang w:val="en-US"/>
        </w:rPr>
        <w:t>生态环境管控分区实施方案“三线一单”</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1.3.22</w:t>
      </w:r>
      <w:r>
        <w:rPr>
          <w:rFonts w:hint="eastAsia" w:ascii="仿宋" w:hAnsi="仿宋" w:eastAsia="仿宋" w:cs="仿宋"/>
          <w:sz w:val="32"/>
          <w:szCs w:val="32"/>
          <w:lang w:val="en-US"/>
        </w:rPr>
        <w:t>“十四五”国民经济和社会发展规划、年度实施计划</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1.3.23</w:t>
      </w:r>
      <w:r>
        <w:rPr>
          <w:rFonts w:hint="eastAsia" w:ascii="仿宋" w:hAnsi="仿宋" w:eastAsia="仿宋" w:cs="仿宋"/>
          <w:sz w:val="32"/>
          <w:szCs w:val="32"/>
          <w:lang w:val="en-US"/>
        </w:rPr>
        <w:t>工业类开发区新上工业项目的投资强度</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1.3.24成片开发拟建设项目的相关资料及其他资料。</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1"/>
        <w:rPr>
          <w:rFonts w:hint="eastAsia" w:ascii="仿宋" w:hAnsi="仿宋" w:eastAsia="仿宋" w:cs="仿宋"/>
          <w:color w:val="auto"/>
          <w:sz w:val="32"/>
          <w:szCs w:val="32"/>
          <w:highlight w:val="none"/>
        </w:rPr>
      </w:pPr>
      <w:bookmarkStart w:id="6" w:name="_Toc32460"/>
      <w:r>
        <w:rPr>
          <w:rFonts w:hint="eastAsia" w:ascii="仿宋" w:hAnsi="仿宋" w:eastAsia="仿宋" w:cs="仿宋"/>
          <w:color w:val="auto"/>
          <w:sz w:val="32"/>
          <w:szCs w:val="32"/>
          <w:highlight w:val="none"/>
          <w:lang w:val="en-US" w:eastAsia="zh-CN"/>
        </w:rPr>
        <w:t>1.4</w:t>
      </w:r>
      <w:r>
        <w:rPr>
          <w:rFonts w:hint="eastAsia" w:ascii="仿宋" w:hAnsi="仿宋" w:eastAsia="仿宋" w:cs="仿宋"/>
          <w:color w:val="auto"/>
          <w:sz w:val="32"/>
          <w:szCs w:val="32"/>
          <w:highlight w:val="none"/>
        </w:rPr>
        <w:t>实施时限</w:t>
      </w:r>
      <w:bookmarkEnd w:id="6"/>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新绛县工业发展速度较快，经济开发区发展势头旺盛，经济、社会等发展呈上升趋势，综合考虑各项因素，本</w:t>
      </w:r>
      <w:r>
        <w:rPr>
          <w:rFonts w:hint="eastAsia" w:ascii="仿宋" w:hAnsi="仿宋" w:eastAsia="仿宋" w:cs="仿宋"/>
          <w:color w:val="auto"/>
          <w:sz w:val="32"/>
          <w:szCs w:val="32"/>
        </w:rPr>
        <w:t>方案的实施</w:t>
      </w:r>
      <w:r>
        <w:rPr>
          <w:rFonts w:hint="eastAsia" w:ascii="仿宋" w:hAnsi="仿宋" w:eastAsia="仿宋" w:cs="仿宋"/>
          <w:color w:val="auto"/>
          <w:sz w:val="32"/>
          <w:szCs w:val="32"/>
          <w:lang w:eastAsia="zh-CN"/>
        </w:rPr>
        <w:t>周期</w:t>
      </w:r>
      <w:r>
        <w:rPr>
          <w:rFonts w:hint="eastAsia" w:ascii="仿宋" w:hAnsi="仿宋" w:eastAsia="仿宋" w:cs="仿宋"/>
          <w:color w:val="auto"/>
          <w:sz w:val="32"/>
          <w:szCs w:val="32"/>
          <w:highlight w:val="none"/>
          <w:lang w:eastAsia="zh-CN"/>
        </w:rPr>
        <w:t>为</w:t>
      </w:r>
      <w:r>
        <w:rPr>
          <w:rFonts w:hint="eastAsia" w:ascii="仿宋" w:hAnsi="仿宋" w:eastAsia="仿宋" w:cs="仿宋"/>
          <w:color w:val="auto"/>
          <w:sz w:val="32"/>
          <w:szCs w:val="32"/>
          <w:highlight w:val="none"/>
          <w:lang w:val="en-US" w:eastAsia="zh-CN"/>
        </w:rPr>
        <w:t>2020年11月5日-2022年12月31日</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0"/>
        <w:rPr>
          <w:rFonts w:hint="eastAsia" w:ascii="仿宋" w:hAnsi="仿宋" w:eastAsia="仿宋" w:cs="仿宋"/>
          <w:color w:val="auto"/>
          <w:sz w:val="32"/>
          <w:szCs w:val="32"/>
        </w:rPr>
      </w:pPr>
      <w:bookmarkStart w:id="7" w:name="_Toc543"/>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区域基本情况</w:t>
      </w:r>
      <w:bookmarkEnd w:id="7"/>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1"/>
        <w:rPr>
          <w:rFonts w:hint="eastAsia" w:ascii="仿宋" w:hAnsi="仿宋" w:eastAsia="仿宋" w:cs="仿宋"/>
          <w:color w:val="auto"/>
          <w:sz w:val="32"/>
          <w:szCs w:val="32"/>
          <w:highlight w:val="none"/>
        </w:rPr>
      </w:pPr>
      <w:bookmarkStart w:id="8" w:name="_Toc27487"/>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位置、面积</w:t>
      </w:r>
      <w:bookmarkEnd w:id="8"/>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本方案含</w:t>
      </w:r>
      <w:r>
        <w:rPr>
          <w:rFonts w:hint="eastAsia" w:ascii="仿宋" w:hAnsi="仿宋" w:eastAsia="仿宋" w:cs="仿宋"/>
          <w:color w:val="auto"/>
          <w:sz w:val="32"/>
          <w:szCs w:val="32"/>
          <w:highlight w:val="none"/>
          <w:lang w:val="en-US" w:eastAsia="zh-CN"/>
        </w:rPr>
        <w:t>北郊机动车加气充电片区、高义钢铁安全防护片区、义泉北片区、高义钢铁片区、三泉工业片区、狄庄片区、北张资源综合利用片区、南社片区、天利高新技术片区、新城区住宅片区</w:t>
      </w:r>
      <w:r>
        <w:rPr>
          <w:rFonts w:hint="eastAsia" w:ascii="仿宋" w:hAnsi="仿宋" w:eastAsia="仿宋" w:cs="仿宋"/>
          <w:color w:val="auto"/>
          <w:sz w:val="32"/>
          <w:szCs w:val="32"/>
          <w:highlight w:val="none"/>
        </w:rPr>
        <w:t>共</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个片区</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共计174.5380公顷</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北郊机动车加气充电片区位于龙兴镇王庄村，面积3.3847公顷；高义钢铁安全防护片区</w:t>
      </w:r>
      <w:r>
        <w:rPr>
          <w:rFonts w:hint="eastAsia" w:ascii="仿宋" w:hAnsi="仿宋" w:eastAsia="仿宋" w:cs="仿宋"/>
          <w:color w:val="auto"/>
          <w:sz w:val="32"/>
          <w:szCs w:val="32"/>
          <w:highlight w:val="none"/>
        </w:rPr>
        <w:t>位于</w:t>
      </w:r>
      <w:r>
        <w:rPr>
          <w:rFonts w:hint="eastAsia" w:ascii="仿宋" w:hAnsi="仿宋" w:eastAsia="仿宋" w:cs="仿宋"/>
          <w:color w:val="auto"/>
          <w:sz w:val="32"/>
          <w:szCs w:val="32"/>
          <w:highlight w:val="none"/>
          <w:lang w:val="en-US" w:eastAsia="zh-CN"/>
        </w:rPr>
        <w:t>横桥镇狄庄村，面积5.1929公顷；义泉北片区位于三泉镇义泉村，面积6.9481公顷；高义钢铁片区位于横桥镇狄庄村南部，面积47.5146公顷;三泉工业片区位于三泉镇义泉村、北社村，面积18.0135公顷；狄庄片区位于横桥镇狄庄村，面积8.9436公顷；北张资源综合利用片区位于北张镇，面积8.0033公顷；南社片区位于三泉镇南社村，面积0.9141公顷；天利高新技术片区位于龙兴镇窑头村，面积5.5197公顷；新城区住宅片区位于龙兴镇王庄村、寨里村、窑头村、侯庄村，面积70.1035公顷</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1"/>
        <w:rPr>
          <w:rFonts w:hint="eastAsia" w:ascii="仿宋" w:hAnsi="仿宋" w:eastAsia="仿宋" w:cs="仿宋"/>
          <w:color w:val="auto"/>
          <w:sz w:val="32"/>
          <w:szCs w:val="32"/>
          <w:highlight w:val="none"/>
        </w:rPr>
      </w:pPr>
      <w:bookmarkStart w:id="9" w:name="_Toc1824"/>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土地利用现状情况</w:t>
      </w:r>
      <w:bookmarkEnd w:id="9"/>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根据实地勘测调查，本方案拟用地总面积</w:t>
      </w:r>
      <w:r>
        <w:rPr>
          <w:rFonts w:hint="eastAsia" w:ascii="仿宋" w:hAnsi="仿宋" w:eastAsia="仿宋" w:cs="仿宋"/>
          <w:color w:val="auto"/>
          <w:sz w:val="32"/>
          <w:szCs w:val="32"/>
          <w:highlight w:val="none"/>
          <w:lang w:val="en-US" w:eastAsia="zh-CN"/>
        </w:rPr>
        <w:t>174.5380</w:t>
      </w:r>
      <w:r>
        <w:rPr>
          <w:rFonts w:hint="eastAsia" w:ascii="仿宋" w:hAnsi="仿宋" w:eastAsia="仿宋" w:cs="仿宋"/>
          <w:color w:val="auto"/>
          <w:sz w:val="32"/>
          <w:szCs w:val="32"/>
          <w:highlight w:val="none"/>
        </w:rPr>
        <w:t>公顷，其中:农用地</w:t>
      </w:r>
      <w:r>
        <w:rPr>
          <w:rFonts w:hint="eastAsia" w:ascii="仿宋" w:hAnsi="仿宋" w:eastAsia="仿宋" w:cs="仿宋"/>
          <w:color w:val="auto"/>
          <w:sz w:val="32"/>
          <w:szCs w:val="32"/>
          <w:highlight w:val="none"/>
          <w:lang w:val="en-US" w:eastAsia="zh-CN"/>
        </w:rPr>
        <w:t>89.4779</w:t>
      </w:r>
      <w:r>
        <w:rPr>
          <w:rFonts w:hint="eastAsia" w:ascii="仿宋" w:hAnsi="仿宋" w:eastAsia="仿宋" w:cs="仿宋"/>
          <w:color w:val="auto"/>
          <w:sz w:val="32"/>
          <w:szCs w:val="32"/>
          <w:highlight w:val="none"/>
        </w:rPr>
        <w:t>公顷(</w:t>
      </w:r>
      <w:r>
        <w:rPr>
          <w:rFonts w:hint="eastAsia" w:ascii="仿宋" w:hAnsi="仿宋" w:eastAsia="仿宋" w:cs="仿宋"/>
          <w:color w:val="auto"/>
          <w:sz w:val="32"/>
          <w:szCs w:val="32"/>
          <w:highlight w:val="none"/>
          <w:lang w:eastAsia="zh-CN"/>
        </w:rPr>
        <w:t>含</w:t>
      </w:r>
      <w:r>
        <w:rPr>
          <w:rFonts w:hint="eastAsia" w:ascii="仿宋" w:hAnsi="仿宋" w:eastAsia="仿宋" w:cs="仿宋"/>
          <w:color w:val="auto"/>
          <w:sz w:val="32"/>
          <w:szCs w:val="32"/>
          <w:highlight w:val="none"/>
        </w:rPr>
        <w:t>耕地</w:t>
      </w:r>
      <w:r>
        <w:rPr>
          <w:rFonts w:hint="eastAsia" w:ascii="仿宋" w:hAnsi="仿宋" w:eastAsia="仿宋" w:cs="仿宋"/>
          <w:color w:val="auto"/>
          <w:sz w:val="32"/>
          <w:szCs w:val="32"/>
          <w:highlight w:val="none"/>
          <w:lang w:val="en-US" w:eastAsia="zh-CN"/>
        </w:rPr>
        <w:t>82.7511</w:t>
      </w:r>
      <w:r>
        <w:rPr>
          <w:rFonts w:hint="eastAsia" w:ascii="仿宋" w:hAnsi="仿宋" w:eastAsia="仿宋" w:cs="仿宋"/>
          <w:color w:val="auto"/>
          <w:sz w:val="32"/>
          <w:szCs w:val="32"/>
          <w:highlight w:val="none"/>
        </w:rPr>
        <w:t>公顷、园地</w:t>
      </w:r>
      <w:r>
        <w:rPr>
          <w:rFonts w:hint="eastAsia" w:ascii="仿宋" w:hAnsi="仿宋" w:eastAsia="仿宋" w:cs="仿宋"/>
          <w:color w:val="auto"/>
          <w:sz w:val="32"/>
          <w:szCs w:val="32"/>
          <w:highlight w:val="none"/>
          <w:lang w:val="en-US" w:eastAsia="zh-CN"/>
        </w:rPr>
        <w:t>5.8938</w:t>
      </w:r>
      <w:r>
        <w:rPr>
          <w:rFonts w:hint="eastAsia" w:ascii="仿宋" w:hAnsi="仿宋" w:eastAsia="仿宋" w:cs="仿宋"/>
          <w:color w:val="auto"/>
          <w:sz w:val="32"/>
          <w:szCs w:val="32"/>
          <w:highlight w:val="none"/>
        </w:rPr>
        <w:t>公顷、林地</w:t>
      </w:r>
      <w:r>
        <w:rPr>
          <w:rFonts w:hint="eastAsia" w:ascii="仿宋" w:hAnsi="仿宋" w:eastAsia="仿宋" w:cs="仿宋"/>
          <w:color w:val="auto"/>
          <w:sz w:val="32"/>
          <w:szCs w:val="32"/>
          <w:highlight w:val="none"/>
          <w:lang w:val="en-US" w:eastAsia="zh-CN"/>
        </w:rPr>
        <w:t>0.5111</w:t>
      </w:r>
      <w:r>
        <w:rPr>
          <w:rFonts w:hint="eastAsia" w:ascii="仿宋" w:hAnsi="仿宋" w:eastAsia="仿宋" w:cs="仿宋"/>
          <w:color w:val="auto"/>
          <w:sz w:val="32"/>
          <w:szCs w:val="32"/>
          <w:highlight w:val="none"/>
        </w:rPr>
        <w:t>公顷</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其他农用地0.3219</w:t>
      </w:r>
      <w:r>
        <w:rPr>
          <w:rFonts w:hint="eastAsia" w:ascii="仿宋" w:hAnsi="仿宋" w:eastAsia="仿宋" w:cs="仿宋"/>
          <w:color w:val="auto"/>
          <w:sz w:val="32"/>
          <w:szCs w:val="32"/>
          <w:highlight w:val="none"/>
        </w:rPr>
        <w:t>公顷)，建设用地</w:t>
      </w:r>
      <w:r>
        <w:rPr>
          <w:rFonts w:hint="eastAsia" w:ascii="仿宋" w:hAnsi="仿宋" w:eastAsia="仿宋" w:cs="仿宋"/>
          <w:color w:val="auto"/>
          <w:sz w:val="32"/>
          <w:szCs w:val="32"/>
          <w:highlight w:val="none"/>
          <w:lang w:val="en-US" w:eastAsia="zh-CN"/>
        </w:rPr>
        <w:t>74.4733</w:t>
      </w:r>
      <w:r>
        <w:rPr>
          <w:rFonts w:hint="eastAsia" w:ascii="仿宋" w:hAnsi="仿宋" w:eastAsia="仿宋" w:cs="仿宋"/>
          <w:color w:val="auto"/>
          <w:sz w:val="32"/>
          <w:szCs w:val="32"/>
          <w:highlight w:val="none"/>
        </w:rPr>
        <w:t>公顷，未利用地</w:t>
      </w:r>
      <w:r>
        <w:rPr>
          <w:rFonts w:hint="eastAsia" w:ascii="仿宋" w:hAnsi="仿宋" w:eastAsia="仿宋" w:cs="仿宋"/>
          <w:color w:val="auto"/>
          <w:sz w:val="32"/>
          <w:szCs w:val="32"/>
          <w:highlight w:val="none"/>
          <w:lang w:val="en-US" w:eastAsia="zh-CN"/>
        </w:rPr>
        <w:t>10.5868</w:t>
      </w:r>
      <w:r>
        <w:rPr>
          <w:rFonts w:hint="eastAsia" w:ascii="仿宋" w:hAnsi="仿宋" w:eastAsia="仿宋" w:cs="仿宋"/>
          <w:color w:val="auto"/>
          <w:sz w:val="32"/>
          <w:szCs w:val="32"/>
          <w:highlight w:val="none"/>
        </w:rPr>
        <w:t>公顷。按</w:t>
      </w:r>
      <w:r>
        <w:rPr>
          <w:rFonts w:hint="eastAsia" w:ascii="仿宋" w:hAnsi="仿宋" w:eastAsia="仿宋" w:cs="仿宋"/>
          <w:color w:val="auto"/>
          <w:sz w:val="32"/>
          <w:szCs w:val="32"/>
          <w:highlight w:val="none"/>
          <w:lang w:eastAsia="zh-CN"/>
        </w:rPr>
        <w:t>片区</w:t>
      </w:r>
      <w:r>
        <w:rPr>
          <w:rFonts w:hint="eastAsia" w:ascii="仿宋" w:hAnsi="仿宋" w:eastAsia="仿宋" w:cs="仿宋"/>
          <w:color w:val="auto"/>
          <w:sz w:val="32"/>
          <w:szCs w:val="32"/>
          <w:highlight w:val="none"/>
        </w:rPr>
        <w:t>分，</w:t>
      </w:r>
      <w:r>
        <w:rPr>
          <w:rFonts w:hint="eastAsia" w:ascii="仿宋" w:hAnsi="仿宋" w:eastAsia="仿宋" w:cs="仿宋"/>
          <w:color w:val="auto"/>
          <w:sz w:val="32"/>
          <w:szCs w:val="32"/>
          <w:highlight w:val="none"/>
          <w:lang w:val="en-US" w:eastAsia="zh-CN"/>
        </w:rPr>
        <w:t>北郊机动车加气充电片区面积3.3847公顷、高义钢铁安全防护片区面积5.1929公顷、义泉北片区面积6.9481公顷、高义钢铁片区面积47.5146公顷、三泉工业片区面积18.0135公顷、狄庄片区面积8.9436公顷、北张资源综合利用片区面积8.0033公顷、南社片区面积0.9141公顷、天利高新技术片区面积5.5197公顷、新城区住宅片区面积70.1035公顷</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1"/>
        <w:rPr>
          <w:rFonts w:hint="eastAsia" w:ascii="仿宋" w:hAnsi="仿宋" w:eastAsia="仿宋" w:cs="仿宋"/>
          <w:color w:val="auto"/>
          <w:sz w:val="32"/>
          <w:szCs w:val="32"/>
          <w:highlight w:val="none"/>
        </w:rPr>
      </w:pPr>
      <w:bookmarkStart w:id="10" w:name="_Toc22988"/>
      <w:r>
        <w:rPr>
          <w:rFonts w:hint="eastAsia" w:ascii="仿宋" w:hAnsi="仿宋" w:eastAsia="仿宋" w:cs="仿宋"/>
          <w:color w:val="auto"/>
          <w:sz w:val="32"/>
          <w:szCs w:val="32"/>
          <w:highlight w:val="none"/>
          <w:lang w:val="en-US" w:eastAsia="zh-CN"/>
        </w:rPr>
        <w:t>2.3</w:t>
      </w:r>
      <w:r>
        <w:rPr>
          <w:rFonts w:hint="eastAsia" w:ascii="仿宋" w:hAnsi="仿宋" w:eastAsia="仿宋" w:cs="仿宋"/>
          <w:color w:val="auto"/>
          <w:sz w:val="32"/>
          <w:szCs w:val="32"/>
          <w:highlight w:val="none"/>
        </w:rPr>
        <w:t>土地权属情况</w:t>
      </w:r>
      <w:bookmarkEnd w:id="1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本次</w:t>
      </w:r>
      <w:r>
        <w:rPr>
          <w:rFonts w:hint="eastAsia" w:ascii="仿宋" w:hAnsi="仿宋" w:eastAsia="仿宋" w:cs="仿宋"/>
          <w:color w:val="auto"/>
          <w:sz w:val="32"/>
          <w:szCs w:val="32"/>
          <w:highlight w:val="none"/>
        </w:rPr>
        <w:t>成片开发</w:t>
      </w:r>
      <w:r>
        <w:rPr>
          <w:rFonts w:hint="eastAsia" w:ascii="仿宋" w:hAnsi="仿宋" w:eastAsia="仿宋" w:cs="仿宋"/>
          <w:color w:val="auto"/>
          <w:sz w:val="32"/>
          <w:szCs w:val="32"/>
          <w:highlight w:val="none"/>
          <w:lang w:val="en-US" w:eastAsia="zh-CN"/>
        </w:rPr>
        <w:t>范围</w:t>
      </w:r>
      <w:r>
        <w:rPr>
          <w:rFonts w:hint="eastAsia" w:ascii="仿宋" w:hAnsi="仿宋" w:eastAsia="仿宋" w:cs="仿宋"/>
          <w:color w:val="auto"/>
          <w:sz w:val="32"/>
          <w:szCs w:val="32"/>
          <w:highlight w:val="none"/>
        </w:rPr>
        <w:t>土地权属</w:t>
      </w:r>
      <w:r>
        <w:rPr>
          <w:rFonts w:hint="eastAsia" w:ascii="仿宋" w:hAnsi="仿宋" w:eastAsia="仿宋" w:cs="仿宋"/>
          <w:color w:val="auto"/>
          <w:sz w:val="32"/>
          <w:szCs w:val="32"/>
          <w:highlight w:val="none"/>
          <w:lang w:val="en-US" w:eastAsia="zh-CN"/>
        </w:rPr>
        <w:t>涉及横桥镇狄庄村、八里斜村、孙家院村，三泉镇义泉村、南社村、北社村，北张镇西庄坡村、庙尔坡村、宁家坡村，龙兴镇窑头村、王庄村、寨里村、侯庄村。土地权属明晰无争议。</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1"/>
        <w:rPr>
          <w:rFonts w:hint="eastAsia" w:ascii="仿宋" w:hAnsi="仿宋" w:eastAsia="仿宋" w:cs="仿宋"/>
          <w:color w:val="auto"/>
          <w:sz w:val="32"/>
          <w:szCs w:val="32"/>
          <w:highlight w:val="none"/>
        </w:rPr>
      </w:pPr>
      <w:bookmarkStart w:id="11" w:name="_Toc10923"/>
      <w:r>
        <w:rPr>
          <w:rFonts w:hint="eastAsia" w:ascii="仿宋" w:hAnsi="仿宋" w:eastAsia="仿宋" w:cs="仿宋"/>
          <w:color w:val="auto"/>
          <w:sz w:val="32"/>
          <w:szCs w:val="32"/>
          <w:highlight w:val="none"/>
          <w:lang w:val="en-US" w:eastAsia="zh-CN"/>
        </w:rPr>
        <w:t>2.4</w:t>
      </w:r>
      <w:r>
        <w:rPr>
          <w:rFonts w:hint="eastAsia" w:ascii="仿宋" w:hAnsi="仿宋" w:eastAsia="仿宋" w:cs="仿宋"/>
          <w:color w:val="auto"/>
          <w:sz w:val="32"/>
          <w:szCs w:val="32"/>
          <w:highlight w:val="none"/>
        </w:rPr>
        <w:t>基础设施条件</w:t>
      </w:r>
      <w:bookmarkEnd w:id="11"/>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新绛县以县城区为主的中心集聚型城镇体系已初步形成，古城改造和新城建设统筹协调稳步推进，城镇化率进一步提升。“两片、三区、一轴、两带”发展格局基本确定，各项提质改造工程顺利实施，历史建筑文物古迹和传统民居基本修缮完毕，古城内街道环境风貌整治工作基本完成，龙兴广场面貌焕然一新，极大改善了古城内群众的居住环境，为进一步开展历史古城经济和旅游价值挖掘打下了坚实基础。新城开发建设上，“三纵四横”骨架道路已完成建设，实施了新城中心广场、博物馆、规划馆、科技馆等城市基础设施项目。九原大道竣工通车，荀子街修缮一新，文体路、体育场提档升级，冰凌沟至汾河排水等工程全部完成，基础设施工程建设稳步推进。农村路、水、电、气等基础设施不断完善，文化教育、医疗卫生、社会保障等公共服务水平与县城均衡发展，村镇提质升级。全县卫生厕所普及率达到89.06%，率先在全市实现了城乡生活垃圾“村收集、镇转运、县处置”的一体化处理模式。创建省级美丽宜居示范村5个，市级美丽宜居示范村13个，农村人居环境整治走在了全市前列。</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新绛县规模以上工业企业达30家，高义钢铁成功实现产值超100亿元，中信金石、中信鑫泰能源等5家企业产值突破10亿元，12家企业年产值达亿元以上，基本形成了焦化、钢铁、建材、煤化工产业集群。转型发展动能日益强劲，抢抓国家实施制造强国战略的重大机遇，大力实施了一批提质升标、节能改造、资源综合利用项目，引导高义钢铁、中信金石等骨干企业持续加大技改投入力度，加快骨干企业进行传统产业技术改造，延伸产业链，提高核心竞争力。至信宝能150万吨/年炭化室高度6.25m捣固焦化项目、高义钢铁减量置换建设1x1680m3高炉项目、天地和金属制品年产70万吨精品镀锌板带项目顺利建成试生产。产业创新驱动能力增强，新绛经济技术开发区正式挂牌成立，创新集聚效应凸显，拥有8家高新技术企业、9家市级以上技术中心，规上产学研合作企业6家，企业研发经费投入年均增长6.5%以上，科技助推企业转型发展内生动力发挥了重要作用。三泉水西家具创业园、北张石雕创业园、万安钻石创业园、横桥服装创业园等十大特色创业园区已初具规模。中小微企业市场主体培育持续加强，全县共培育和发展“专精特新”企业12家、“小升规”企业累计培育19家，完成股份制企业改制6家，孵化创办企业2810家，市级以上双创基地7个，“五小企业”培育工作排名全市第1。</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ascii="仿宋" w:hAnsi="仿宋" w:eastAsia="仿宋" w:cs="仿宋"/>
          <w:color w:val="auto"/>
          <w:sz w:val="32"/>
          <w:szCs w:val="32"/>
          <w:highlight w:val="none"/>
        </w:rPr>
      </w:pPr>
      <w:bookmarkStart w:id="12" w:name="_Toc27988"/>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必要性分析</w:t>
      </w:r>
      <w:bookmarkEnd w:id="12"/>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3.1</w:t>
      </w:r>
      <w:r>
        <w:rPr>
          <w:rFonts w:hint="eastAsia" w:ascii="仿宋" w:hAnsi="仿宋" w:eastAsia="仿宋" w:cs="仿宋"/>
          <w:color w:val="auto"/>
          <w:sz w:val="32"/>
          <w:szCs w:val="32"/>
        </w:rPr>
        <w:t>新土地管理法第45条规定成片开发建设是土地征收的重要要求</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2020年1月1日，新《土地管理法》正式实施。新《土地管理法》第45条明确了属于公共利益可以征收集体土地的六种情形，在土地征收制度上提出了重大改革。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新《土地管理法》第45条第5款规定，“在土地利用总体规划确定的城镇建设用地范围内，经省级人民政府批准由县级以上人民政府组织实施的成片开发建设需要用地的可以依法实施土地征收”。新的法律规定缩小了征收集体土地的范围，以招拍挂方式出让的经营性项目用地，只有符合土地征收成片开发的规定和条件，才可以依法实施土地征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15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3.2</w:t>
      </w:r>
      <w:r>
        <w:rPr>
          <w:rFonts w:hint="eastAsia" w:ascii="仿宋" w:hAnsi="仿宋" w:eastAsia="仿宋" w:cs="仿宋"/>
          <w:color w:val="auto"/>
          <w:sz w:val="32"/>
          <w:szCs w:val="32"/>
        </w:rPr>
        <w:t>落实有序引导城镇空间集聚发展、品质提升的重要环节</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根据山西省土地征收成片开发标准实施细则（试行）》（晋自然资发（2021）28号）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山西省自然资源办公厅关于印发《山西省土地征收成片开发方案编制技术指南（试行）》的通知（晋自然资发[2021]30号）</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相关要求，成片开发建设用地应位于国土空间规划确定的城镇开发边界内的集中建设区，省国土空间规划未公布实施前，成片开发建设用地应位于土地利用总体规划确定的允许建设区或城市、镇总体规划确定的建设用地范围内；与正在编制的国土空间总体规划充分衔接，成片开发方案范围的划定底线，不得与永久基本农田和生态保护红线冲突；一个完整的成片开发范围内基础设施、公共服务设施和其他公益性用地比例一般不低于40%。</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土地征收成片开发的实施将进一步防止空间无序蔓延，引导城镇建设空间向城镇开发边界内的集中建设区集聚发展；同时提出的公益性用地比例要求，保障了成片开发区域的空间品质。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15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3.3</w:t>
      </w:r>
      <w:r>
        <w:rPr>
          <w:rFonts w:hint="eastAsia" w:ascii="仿宋" w:hAnsi="仿宋" w:eastAsia="仿宋" w:cs="仿宋"/>
          <w:color w:val="auto"/>
          <w:sz w:val="32"/>
          <w:szCs w:val="32"/>
          <w:lang w:eastAsia="zh-CN"/>
        </w:rPr>
        <w:t>对片区进行土地征收成片开发，有助于拓展城市发展空间，完善城市功能配套，提升城市宜居品质，促进产业转型升级。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15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3.4</w:t>
      </w:r>
      <w:r>
        <w:rPr>
          <w:rFonts w:hint="eastAsia" w:ascii="仿宋" w:hAnsi="仿宋" w:eastAsia="仿宋" w:cs="仿宋"/>
          <w:color w:val="auto"/>
          <w:sz w:val="32"/>
          <w:szCs w:val="32"/>
          <w:lang w:eastAsia="zh-CN"/>
        </w:rPr>
        <w:t>保障重点项目落地，推动产业发展。工业园区内项目较多，编制土地征收成片开发方案可以优先发展重点项目，保障重点项目落地，推动产业发展。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15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3.5</w:t>
      </w:r>
      <w:r>
        <w:rPr>
          <w:rFonts w:hint="eastAsia" w:ascii="仿宋" w:hAnsi="仿宋" w:eastAsia="仿宋" w:cs="仿宋"/>
          <w:color w:val="auto"/>
          <w:sz w:val="32"/>
          <w:szCs w:val="32"/>
          <w:lang w:eastAsia="zh-CN"/>
        </w:rPr>
        <w:t>完善区域公共配套设施与基础设施建设。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15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通过本次成片开发方案的实施，以“重大工程、重点项目、重点地块”的开发为契机，推动完善周边公共配套设施与基础设施的建设，促进文化、教育、卫生、社会福利等各项社会事业的迅速发展，带动区域经济增长，提升居民生活品质与幸福指数。</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0"/>
        <w:rPr>
          <w:rFonts w:hint="eastAsia" w:ascii="仿宋" w:hAnsi="仿宋" w:eastAsia="仿宋" w:cs="仿宋"/>
          <w:color w:val="auto"/>
          <w:sz w:val="32"/>
          <w:szCs w:val="32"/>
          <w:highlight w:val="yellow"/>
        </w:rPr>
      </w:pPr>
      <w:bookmarkStart w:id="13" w:name="_Toc5559"/>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主要用途和实现的功能</w:t>
      </w:r>
      <w:bookmarkEnd w:id="13"/>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default" w:ascii="仿宋" w:hAnsi="仿宋" w:eastAsia="仿宋" w:cs="仿宋"/>
          <w:color w:val="auto"/>
          <w:sz w:val="32"/>
          <w:szCs w:val="32"/>
          <w:lang w:val="en-US"/>
        </w:rPr>
      </w:pPr>
      <w:r>
        <w:rPr>
          <w:rFonts w:hint="eastAsia" w:ascii="仿宋" w:hAnsi="仿宋" w:eastAsia="仿宋" w:cs="仿宋"/>
          <w:color w:val="auto"/>
          <w:sz w:val="32"/>
          <w:szCs w:val="32"/>
        </w:rPr>
        <w:t>本方案主要用途为</w:t>
      </w:r>
      <w:r>
        <w:rPr>
          <w:rFonts w:hint="eastAsia" w:ascii="仿宋" w:hAnsi="仿宋" w:eastAsia="仿宋" w:cs="仿宋"/>
          <w:color w:val="auto"/>
          <w:sz w:val="32"/>
          <w:szCs w:val="32"/>
          <w:lang w:eastAsia="zh-CN"/>
        </w:rPr>
        <w:t>工业、</w:t>
      </w:r>
      <w:r>
        <w:rPr>
          <w:rFonts w:hint="eastAsia" w:ascii="仿宋" w:hAnsi="仿宋" w:eastAsia="仿宋" w:cs="仿宋"/>
          <w:color w:val="auto"/>
          <w:sz w:val="32"/>
          <w:szCs w:val="32"/>
          <w:lang w:val="en-US" w:eastAsia="zh-CN"/>
        </w:rPr>
        <w:t>住宅、商业与服务业</w:t>
      </w:r>
      <w:r>
        <w:rPr>
          <w:rFonts w:hint="eastAsia" w:ascii="仿宋" w:hAnsi="仿宋" w:eastAsia="仿宋" w:cs="仿宋"/>
          <w:color w:val="auto"/>
          <w:sz w:val="32"/>
          <w:szCs w:val="32"/>
        </w:rPr>
        <w:t>，其中:</w:t>
      </w:r>
      <w:r>
        <w:rPr>
          <w:rFonts w:hint="eastAsia" w:ascii="仿宋" w:hAnsi="仿宋" w:eastAsia="仿宋" w:cs="仿宋"/>
          <w:color w:val="auto"/>
          <w:sz w:val="32"/>
          <w:szCs w:val="32"/>
          <w:lang w:eastAsia="zh-CN"/>
        </w:rPr>
        <w:t>工业</w:t>
      </w:r>
      <w:r>
        <w:rPr>
          <w:rFonts w:hint="eastAsia" w:ascii="仿宋" w:hAnsi="仿宋" w:eastAsia="仿宋" w:cs="仿宋"/>
          <w:color w:val="auto"/>
          <w:sz w:val="32"/>
          <w:szCs w:val="32"/>
        </w:rPr>
        <w:t>用途用地</w:t>
      </w:r>
      <w:r>
        <w:rPr>
          <w:rFonts w:hint="eastAsia" w:ascii="仿宋" w:hAnsi="仿宋" w:eastAsia="仿宋" w:cs="仿宋"/>
          <w:color w:val="auto"/>
          <w:sz w:val="32"/>
          <w:szCs w:val="32"/>
          <w:lang w:val="en-US" w:eastAsia="zh-CN"/>
        </w:rPr>
        <w:t>64.0578</w:t>
      </w:r>
      <w:r>
        <w:rPr>
          <w:rFonts w:hint="eastAsia" w:ascii="仿宋" w:hAnsi="仿宋" w:eastAsia="仿宋" w:cs="仿宋"/>
          <w:color w:val="auto"/>
          <w:sz w:val="32"/>
          <w:szCs w:val="32"/>
        </w:rPr>
        <w:t>公顷</w:t>
      </w:r>
      <w:r>
        <w:rPr>
          <w:rFonts w:hint="eastAsia" w:ascii="仿宋" w:hAnsi="仿宋" w:eastAsia="仿宋" w:cs="仿宋"/>
          <w:color w:val="auto"/>
          <w:sz w:val="32"/>
          <w:szCs w:val="32"/>
          <w:lang w:val="en-US" w:eastAsia="zh-CN"/>
        </w:rPr>
        <w:t>,主要项目有年产200万吨高炉矿渣超细粉生产线项目、山西高义钢铁有限公司安全防护距离安置搬迁项目、天利高新技术产业园项目、年产5000吨LED封装用环氧树脂项目、节能环保升级改造项目、资源综合利用建设环保脱硫剂项目、山西高义钢铁有限公司年产200万吨高速棒材生产线项目、150万吨特优带钢生产项目、年产5000吨2,4二硝基氯化苯500吨硫化蓝项目、年产45万吨冷轧板带62万吨精品镀锌钢管板带项目等，进一步壮大新绛县经济技术开发区、产业园区实力，带动新绛县经济发展，产业的发展提供了更多的就业岗位，满足当地就业需求，促进社会稳定发展；商业服务业面积0.9128公顷，项目为北郊机动车加气充电服务区项目，为机动车加气、充电提供便利，方便居民出行；住宅面积13.4874公顷，为新城区住宅及公园绿地道路用地项目，周边配套设施完善，交通便利，提高居民的居住环境。</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0"/>
        <w:rPr>
          <w:rFonts w:hint="eastAsia" w:ascii="仿宋" w:hAnsi="仿宋" w:eastAsia="仿宋" w:cs="仿宋"/>
          <w:color w:val="auto"/>
          <w:sz w:val="32"/>
          <w:szCs w:val="32"/>
          <w:highlight w:val="none"/>
        </w:rPr>
      </w:pPr>
      <w:bookmarkStart w:id="14" w:name="_Toc23272"/>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拟安排的建设项目、开发时序和年度实施计划</w:t>
      </w:r>
      <w:bookmarkEnd w:id="14"/>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1"/>
        <w:rPr>
          <w:rFonts w:hint="eastAsia" w:ascii="仿宋" w:hAnsi="仿宋" w:eastAsia="仿宋" w:cs="仿宋"/>
          <w:color w:val="auto"/>
          <w:sz w:val="32"/>
          <w:szCs w:val="32"/>
          <w:highlight w:val="none"/>
        </w:rPr>
      </w:pPr>
      <w:bookmarkStart w:id="15" w:name="_Toc25083"/>
      <w:r>
        <w:rPr>
          <w:rFonts w:hint="eastAsia" w:ascii="仿宋" w:hAnsi="仿宋" w:eastAsia="仿宋" w:cs="仿宋"/>
          <w:color w:val="auto"/>
          <w:sz w:val="32"/>
          <w:szCs w:val="32"/>
          <w:highlight w:val="none"/>
          <w:lang w:val="en-US" w:eastAsia="zh-CN"/>
        </w:rPr>
        <w:t>5.1</w:t>
      </w:r>
      <w:r>
        <w:rPr>
          <w:rFonts w:hint="eastAsia" w:ascii="仿宋" w:hAnsi="仿宋" w:eastAsia="仿宋" w:cs="仿宋"/>
          <w:color w:val="auto"/>
          <w:sz w:val="32"/>
          <w:szCs w:val="32"/>
          <w:highlight w:val="none"/>
        </w:rPr>
        <w:t>拟安排的建设项目</w:t>
      </w:r>
      <w:bookmarkEnd w:id="15"/>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5769"/>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605"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3223"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项目名称</w:t>
            </w:r>
          </w:p>
        </w:tc>
        <w:tc>
          <w:tcPr>
            <w:tcW w:w="1170"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土地用途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05"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1</w:t>
            </w:r>
          </w:p>
        </w:tc>
        <w:tc>
          <w:tcPr>
            <w:tcW w:w="3223"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年产5000吨LED封装用环氧树脂项目</w:t>
            </w:r>
          </w:p>
        </w:tc>
        <w:tc>
          <w:tcPr>
            <w:tcW w:w="1170"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2"/>
                <w:szCs w:val="22"/>
                <w:u w:val="none"/>
                <w:lang w:val="en-US" w:eastAsia="zh-CN" w:bidi="ar"/>
              </w:rPr>
            </w:pPr>
            <w:r>
              <w:rPr>
                <w:rFonts w:hint="default" w:ascii="仿宋" w:hAnsi="仿宋" w:eastAsia="仿宋" w:cs="仿宋"/>
                <w:i w:val="0"/>
                <w:iCs w:val="0"/>
                <w:color w:val="000000"/>
                <w:kern w:val="0"/>
                <w:sz w:val="22"/>
                <w:szCs w:val="22"/>
                <w:u w:val="none"/>
                <w:lang w:val="en-US" w:eastAsia="zh-CN" w:bidi="ar"/>
              </w:rPr>
              <w:t>工业用地-新材料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05"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2</w:t>
            </w:r>
          </w:p>
        </w:tc>
        <w:tc>
          <w:tcPr>
            <w:tcW w:w="3223"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节能环保升级改造项目</w:t>
            </w:r>
          </w:p>
        </w:tc>
        <w:tc>
          <w:tcPr>
            <w:tcW w:w="1170"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2"/>
                <w:szCs w:val="22"/>
                <w:u w:val="none"/>
                <w:lang w:val="en-US" w:eastAsia="zh-CN" w:bidi="ar"/>
              </w:rPr>
            </w:pPr>
            <w:r>
              <w:rPr>
                <w:rFonts w:hint="default" w:ascii="仿宋" w:hAnsi="仿宋" w:eastAsia="仿宋" w:cs="仿宋"/>
                <w:i w:val="0"/>
                <w:iCs w:val="0"/>
                <w:color w:val="000000"/>
                <w:kern w:val="0"/>
                <w:sz w:val="22"/>
                <w:szCs w:val="22"/>
                <w:u w:val="none"/>
                <w:lang w:val="en-US" w:eastAsia="zh-CN" w:bidi="ar"/>
              </w:rPr>
              <w:t>工业用地-硅锰合金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05"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3</w:t>
            </w:r>
          </w:p>
        </w:tc>
        <w:tc>
          <w:tcPr>
            <w:tcW w:w="3223"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资源综合利用建设环保脱硫剂项目</w:t>
            </w:r>
          </w:p>
        </w:tc>
        <w:tc>
          <w:tcPr>
            <w:tcW w:w="1170"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2"/>
                <w:szCs w:val="22"/>
                <w:u w:val="none"/>
                <w:lang w:val="en-US" w:eastAsia="zh-CN" w:bidi="ar"/>
              </w:rPr>
            </w:pPr>
            <w:r>
              <w:rPr>
                <w:rFonts w:hint="default" w:ascii="仿宋" w:hAnsi="仿宋" w:eastAsia="仿宋" w:cs="仿宋"/>
                <w:i w:val="0"/>
                <w:iCs w:val="0"/>
                <w:color w:val="000000"/>
                <w:kern w:val="0"/>
                <w:sz w:val="22"/>
                <w:szCs w:val="22"/>
                <w:u w:val="none"/>
                <w:lang w:val="en-US" w:eastAsia="zh-CN" w:bidi="ar"/>
              </w:rPr>
              <w:t>工业用地-建材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605"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4</w:t>
            </w:r>
          </w:p>
        </w:tc>
        <w:tc>
          <w:tcPr>
            <w:tcW w:w="3223"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山西高义钢铁有限公司年产200万吨高速棒材生产线项目</w:t>
            </w:r>
            <w:r>
              <w:rPr>
                <w:rFonts w:hint="eastAsia" w:ascii="仿宋" w:hAnsi="仿宋" w:eastAsia="仿宋" w:cs="仿宋"/>
                <w:i w:val="0"/>
                <w:iCs w:val="0"/>
                <w:color w:val="000000"/>
                <w:sz w:val="22"/>
                <w:szCs w:val="22"/>
                <w:u w:val="none"/>
                <w:lang w:eastAsia="zh-CN"/>
              </w:rPr>
              <w:t>、</w:t>
            </w:r>
            <w:r>
              <w:rPr>
                <w:rFonts w:hint="eastAsia" w:ascii="仿宋" w:hAnsi="仿宋" w:eastAsia="仿宋" w:cs="仿宋"/>
                <w:i w:val="0"/>
                <w:iCs w:val="0"/>
                <w:color w:val="000000"/>
                <w:sz w:val="22"/>
                <w:szCs w:val="22"/>
                <w:u w:val="none"/>
              </w:rPr>
              <w:t>山西高义钢铁有限公司年产150万吨优特带钢生产线项目</w:t>
            </w:r>
          </w:p>
        </w:tc>
        <w:tc>
          <w:tcPr>
            <w:tcW w:w="1170"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2"/>
                <w:szCs w:val="22"/>
                <w:u w:val="none"/>
                <w:lang w:val="en-US" w:eastAsia="zh-CN" w:bidi="ar"/>
              </w:rPr>
            </w:pPr>
            <w:r>
              <w:rPr>
                <w:rFonts w:hint="default" w:ascii="仿宋" w:hAnsi="仿宋" w:eastAsia="仿宋" w:cs="仿宋"/>
                <w:i w:val="0"/>
                <w:iCs w:val="0"/>
                <w:color w:val="000000"/>
                <w:kern w:val="0"/>
                <w:sz w:val="22"/>
                <w:szCs w:val="22"/>
                <w:u w:val="none"/>
                <w:lang w:val="en-US" w:eastAsia="zh-CN" w:bidi="ar"/>
              </w:rPr>
              <w:t>工业用地-钢铁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05"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5</w:t>
            </w:r>
          </w:p>
        </w:tc>
        <w:tc>
          <w:tcPr>
            <w:tcW w:w="3223"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年产200万吨高炉矿渣超细粉生产线项目</w:t>
            </w:r>
          </w:p>
        </w:tc>
        <w:tc>
          <w:tcPr>
            <w:tcW w:w="1170"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2"/>
                <w:szCs w:val="22"/>
                <w:u w:val="none"/>
                <w:lang w:val="en-US" w:eastAsia="zh-CN" w:bidi="ar"/>
              </w:rPr>
            </w:pPr>
            <w:r>
              <w:rPr>
                <w:rFonts w:hint="default" w:ascii="仿宋" w:hAnsi="仿宋" w:eastAsia="仿宋" w:cs="仿宋"/>
                <w:i w:val="0"/>
                <w:iCs w:val="0"/>
                <w:color w:val="000000"/>
                <w:kern w:val="0"/>
                <w:sz w:val="22"/>
                <w:szCs w:val="22"/>
                <w:u w:val="none"/>
                <w:lang w:val="en-US" w:eastAsia="zh-CN" w:bidi="ar"/>
              </w:rPr>
              <w:t>工业用地-金属废料和碎屑加工处理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05"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6</w:t>
            </w:r>
          </w:p>
        </w:tc>
        <w:tc>
          <w:tcPr>
            <w:tcW w:w="3223"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天利高新技术产业园项目</w:t>
            </w:r>
          </w:p>
        </w:tc>
        <w:tc>
          <w:tcPr>
            <w:tcW w:w="1170" w:type="pct"/>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2"/>
                <w:szCs w:val="22"/>
                <w:u w:val="none"/>
                <w:lang w:val="en-US" w:eastAsia="zh-CN" w:bidi="ar"/>
              </w:rPr>
            </w:pPr>
            <w:r>
              <w:rPr>
                <w:rFonts w:hint="default" w:ascii="仿宋" w:hAnsi="仿宋" w:eastAsia="仿宋" w:cs="仿宋"/>
                <w:i w:val="0"/>
                <w:iCs w:val="0"/>
                <w:color w:val="000000"/>
                <w:kern w:val="0"/>
                <w:sz w:val="22"/>
                <w:szCs w:val="22"/>
                <w:u w:val="none"/>
                <w:lang w:val="en-US" w:eastAsia="zh-CN" w:bidi="ar"/>
              </w:rPr>
              <w:t>工业用地</w:t>
            </w:r>
            <w:r>
              <w:rPr>
                <w:rFonts w:hint="eastAsia" w:ascii="仿宋" w:hAnsi="仿宋" w:eastAsia="仿宋" w:cs="仿宋"/>
                <w:i w:val="0"/>
                <w:iCs w:val="0"/>
                <w:color w:val="000000"/>
                <w:kern w:val="0"/>
                <w:sz w:val="22"/>
                <w:szCs w:val="22"/>
                <w:u w:val="none"/>
                <w:lang w:val="en-US" w:eastAsia="zh-CN" w:bidi="ar"/>
              </w:rPr>
              <w:t>-高新技术产业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05"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7</w:t>
            </w:r>
          </w:p>
        </w:tc>
        <w:tc>
          <w:tcPr>
            <w:tcW w:w="3223"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年产5000吨2,4二硝基氯化苯、500吨硫化蓝项目</w:t>
            </w:r>
          </w:p>
        </w:tc>
        <w:tc>
          <w:tcPr>
            <w:tcW w:w="1170"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2"/>
                <w:szCs w:val="22"/>
                <w:u w:val="none"/>
                <w:lang w:val="en-US" w:eastAsia="zh-CN" w:bidi="ar"/>
              </w:rPr>
            </w:pPr>
            <w:r>
              <w:rPr>
                <w:rFonts w:hint="default" w:ascii="仿宋" w:hAnsi="仿宋" w:eastAsia="仿宋" w:cs="仿宋"/>
                <w:i w:val="0"/>
                <w:iCs w:val="0"/>
                <w:color w:val="000000"/>
                <w:kern w:val="0"/>
                <w:sz w:val="22"/>
                <w:szCs w:val="22"/>
                <w:u w:val="none"/>
                <w:lang w:val="en-US" w:eastAsia="zh-CN" w:bidi="ar"/>
              </w:rPr>
              <w:t>工业用地-染料制造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605"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8</w:t>
            </w:r>
          </w:p>
        </w:tc>
        <w:tc>
          <w:tcPr>
            <w:tcW w:w="3223"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年产45万吨冷轧板带、62万吨精品镀锌钢管板带项目</w:t>
            </w:r>
          </w:p>
        </w:tc>
        <w:tc>
          <w:tcPr>
            <w:tcW w:w="1170"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2"/>
                <w:szCs w:val="22"/>
                <w:u w:val="none"/>
                <w:lang w:val="en-US" w:eastAsia="zh-CN" w:bidi="ar"/>
              </w:rPr>
            </w:pPr>
            <w:r>
              <w:rPr>
                <w:rFonts w:hint="default" w:ascii="仿宋" w:hAnsi="仿宋" w:eastAsia="仿宋" w:cs="仿宋"/>
                <w:i w:val="0"/>
                <w:iCs w:val="0"/>
                <w:color w:val="000000"/>
                <w:kern w:val="0"/>
                <w:sz w:val="22"/>
                <w:szCs w:val="22"/>
                <w:u w:val="none"/>
                <w:lang w:val="en-US" w:eastAsia="zh-CN" w:bidi="ar"/>
              </w:rPr>
              <w:t>工业用地-钢压延加工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605" w:type="pct"/>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w:t>
            </w:r>
          </w:p>
        </w:tc>
        <w:tc>
          <w:tcPr>
            <w:tcW w:w="3223"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年产200万吨高炉矿渣超细粉生产线二期项目</w:t>
            </w:r>
          </w:p>
        </w:tc>
        <w:tc>
          <w:tcPr>
            <w:tcW w:w="1170" w:type="pct"/>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2"/>
                <w:szCs w:val="22"/>
                <w:u w:val="none"/>
                <w:lang w:val="en-US" w:eastAsia="zh-CN" w:bidi="ar"/>
              </w:rPr>
            </w:pPr>
            <w:r>
              <w:rPr>
                <w:rFonts w:hint="default" w:ascii="仿宋" w:hAnsi="仿宋" w:eastAsia="仿宋" w:cs="仿宋"/>
                <w:i w:val="0"/>
                <w:iCs w:val="0"/>
                <w:color w:val="000000"/>
                <w:kern w:val="0"/>
                <w:sz w:val="22"/>
                <w:szCs w:val="22"/>
                <w:u w:val="none"/>
                <w:lang w:val="en-US" w:eastAsia="zh-CN" w:bidi="ar"/>
              </w:rPr>
              <w:t>工业用地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605" w:type="pct"/>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w:t>
            </w:r>
          </w:p>
        </w:tc>
        <w:tc>
          <w:tcPr>
            <w:tcW w:w="3223"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山西高义钢铁有限公司安全防护距离安置搬迁项目</w:t>
            </w:r>
          </w:p>
        </w:tc>
        <w:tc>
          <w:tcPr>
            <w:tcW w:w="1170" w:type="pct"/>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2"/>
                <w:szCs w:val="22"/>
                <w:u w:val="none"/>
                <w:lang w:val="en-US" w:eastAsia="zh-CN" w:bidi="ar"/>
              </w:rPr>
            </w:pPr>
            <w:r>
              <w:rPr>
                <w:rFonts w:hint="default" w:ascii="仿宋" w:hAnsi="仿宋" w:eastAsia="仿宋" w:cs="仿宋"/>
                <w:i w:val="0"/>
                <w:iCs w:val="0"/>
                <w:color w:val="000000"/>
                <w:kern w:val="0"/>
                <w:sz w:val="22"/>
                <w:szCs w:val="22"/>
                <w:u w:val="none"/>
                <w:lang w:val="en-US" w:eastAsia="zh-CN" w:bidi="ar"/>
              </w:rPr>
              <w:t>工业用地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605" w:type="pct"/>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11</w:t>
            </w:r>
          </w:p>
        </w:tc>
        <w:tc>
          <w:tcPr>
            <w:tcW w:w="3223"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北郊机动车加气充电服务区项目</w:t>
            </w:r>
          </w:p>
        </w:tc>
        <w:tc>
          <w:tcPr>
            <w:tcW w:w="1170" w:type="pct"/>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商业服务业</w:t>
            </w:r>
            <w:r>
              <w:rPr>
                <w:rFonts w:hint="default" w:ascii="仿宋" w:hAnsi="仿宋" w:eastAsia="仿宋" w:cs="仿宋"/>
                <w:i w:val="0"/>
                <w:iCs w:val="0"/>
                <w:color w:val="000000"/>
                <w:kern w:val="0"/>
                <w:sz w:val="22"/>
                <w:szCs w:val="22"/>
                <w:u w:val="none"/>
                <w:lang w:val="en-US" w:eastAsia="zh-CN" w:bidi="ar"/>
              </w:rPr>
              <w:t>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605" w:type="pct"/>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12</w:t>
            </w:r>
          </w:p>
        </w:tc>
        <w:tc>
          <w:tcPr>
            <w:tcW w:w="3223" w:type="pct"/>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新城区住宅及公园绿地道路用地项目</w:t>
            </w:r>
          </w:p>
        </w:tc>
        <w:tc>
          <w:tcPr>
            <w:tcW w:w="1170" w:type="pct"/>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住宅用地</w:t>
            </w:r>
          </w:p>
        </w:tc>
      </w:tr>
    </w:tbl>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1"/>
        <w:rPr>
          <w:rFonts w:hint="eastAsia" w:ascii="仿宋" w:hAnsi="仿宋" w:eastAsia="仿宋" w:cs="仿宋"/>
          <w:color w:val="auto"/>
          <w:sz w:val="32"/>
          <w:szCs w:val="32"/>
          <w:highlight w:val="none"/>
        </w:rPr>
      </w:pPr>
      <w:bookmarkStart w:id="16" w:name="_Toc21441"/>
      <w:r>
        <w:rPr>
          <w:rFonts w:hint="eastAsia" w:ascii="仿宋" w:hAnsi="仿宋" w:eastAsia="仿宋" w:cs="仿宋"/>
          <w:color w:val="auto"/>
          <w:sz w:val="32"/>
          <w:szCs w:val="32"/>
          <w:highlight w:val="none"/>
          <w:lang w:val="en-US" w:eastAsia="zh-CN"/>
        </w:rPr>
        <w:t>5.2</w:t>
      </w:r>
      <w:r>
        <w:rPr>
          <w:rFonts w:hint="eastAsia" w:ascii="仿宋" w:hAnsi="仿宋" w:eastAsia="仿宋" w:cs="仿宋"/>
          <w:color w:val="auto"/>
          <w:sz w:val="32"/>
          <w:szCs w:val="32"/>
          <w:highlight w:val="none"/>
        </w:rPr>
        <w:t>开发时序</w:t>
      </w:r>
      <w:bookmarkEnd w:id="16"/>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统筹考虑资源禀赋、基础设施情况、征收难度、融资情况、建设计划等因素，</w:t>
      </w:r>
      <w:r>
        <w:rPr>
          <w:rFonts w:hint="eastAsia" w:ascii="仿宋" w:hAnsi="仿宋" w:eastAsia="仿宋" w:cs="仿宋"/>
          <w:color w:val="auto"/>
          <w:sz w:val="32"/>
          <w:szCs w:val="32"/>
          <w:highlight w:val="none"/>
          <w:lang w:val="en-US" w:eastAsia="zh-CN"/>
        </w:rPr>
        <w:t>综合论证后制定拟建设项目开发时序为2020年11月5日-2021年12月31日，拟建设项目共计78.4580公顷。</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1"/>
        <w:rPr>
          <w:rFonts w:hint="eastAsia" w:ascii="仿宋" w:hAnsi="仿宋" w:eastAsia="仿宋" w:cs="仿宋"/>
          <w:color w:val="auto"/>
          <w:sz w:val="32"/>
          <w:szCs w:val="32"/>
          <w:highlight w:val="none"/>
        </w:rPr>
      </w:pPr>
      <w:bookmarkStart w:id="17" w:name="_Toc2212"/>
      <w:r>
        <w:rPr>
          <w:rFonts w:hint="eastAsia" w:ascii="仿宋" w:hAnsi="仿宋" w:eastAsia="仿宋" w:cs="仿宋"/>
          <w:color w:val="auto"/>
          <w:sz w:val="32"/>
          <w:szCs w:val="32"/>
          <w:highlight w:val="none"/>
          <w:lang w:val="en-US" w:eastAsia="zh-CN"/>
        </w:rPr>
        <w:t>5.3</w:t>
      </w:r>
      <w:r>
        <w:rPr>
          <w:rFonts w:hint="eastAsia" w:ascii="仿宋" w:hAnsi="仿宋" w:eastAsia="仿宋" w:cs="仿宋"/>
          <w:color w:val="auto"/>
          <w:sz w:val="32"/>
          <w:szCs w:val="32"/>
          <w:highlight w:val="none"/>
        </w:rPr>
        <w:t>年度实施计划</w:t>
      </w:r>
      <w:bookmarkEnd w:id="17"/>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val="en-US" w:eastAsia="zh-CN"/>
        </w:rPr>
        <w:t>2020年11月5日-2021年12月31日，完成土地征收58.5945公顷，完成总征收计划的74.68%；2022年1月1日-2022年12月31日，完成总</w:t>
      </w:r>
      <w:r>
        <w:rPr>
          <w:rFonts w:hint="eastAsia" w:ascii="仿宋" w:hAnsi="仿宋" w:eastAsia="仿宋" w:cs="仿宋"/>
          <w:color w:val="auto"/>
          <w:sz w:val="32"/>
          <w:szCs w:val="32"/>
          <w:lang w:val="en-US" w:eastAsia="zh-CN"/>
        </w:rPr>
        <w:t>征收计划的25.32%。</w:t>
      </w:r>
    </w:p>
    <w:p>
      <w:pPr>
        <w:keepNext w:val="0"/>
        <w:keepLines w:val="0"/>
        <w:pageBreakBefore w:val="0"/>
        <w:widowControl w:val="0"/>
        <w:kinsoku/>
        <w:wordWrap/>
        <w:overflowPunct/>
        <w:topLinePunct w:val="0"/>
        <w:autoSpaceDE/>
        <w:autoSpaceDN/>
        <w:bidi w:val="0"/>
        <w:spacing w:line="360" w:lineRule="auto"/>
        <w:ind w:firstLine="640"/>
        <w:textAlignment w:val="auto"/>
        <w:outlineLvl w:val="0"/>
        <w:rPr>
          <w:rFonts w:hint="eastAsia" w:ascii="仿宋" w:hAnsi="仿宋" w:eastAsia="仿宋" w:cs="仿宋"/>
          <w:color w:val="auto"/>
          <w:sz w:val="32"/>
          <w:szCs w:val="32"/>
        </w:rPr>
      </w:pPr>
      <w:bookmarkStart w:id="18" w:name="_Toc11719"/>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合规性分析</w:t>
      </w:r>
      <w:bookmarkEnd w:id="18"/>
    </w:p>
    <w:p>
      <w:pPr>
        <w:keepNext w:val="0"/>
        <w:keepLines w:val="0"/>
        <w:pageBreakBefore w:val="0"/>
        <w:widowControl w:val="0"/>
        <w:kinsoku/>
        <w:wordWrap/>
        <w:overflowPunct/>
        <w:topLinePunct w:val="0"/>
        <w:autoSpaceDE/>
        <w:autoSpaceDN/>
        <w:bidi w:val="0"/>
        <w:spacing w:line="360" w:lineRule="auto"/>
        <w:textAlignment w:val="auto"/>
        <w:outlineLvl w:val="1"/>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bookmarkStart w:id="19" w:name="_Toc2980"/>
      <w:r>
        <w:rPr>
          <w:rFonts w:hint="eastAsia" w:ascii="仿宋" w:hAnsi="仿宋" w:eastAsia="仿宋" w:cs="仿宋"/>
          <w:color w:val="auto"/>
          <w:sz w:val="32"/>
          <w:szCs w:val="32"/>
          <w:lang w:val="en-US" w:eastAsia="zh-CN"/>
        </w:rPr>
        <w:t>6.1</w:t>
      </w:r>
      <w:r>
        <w:rPr>
          <w:rFonts w:hint="eastAsia" w:ascii="仿宋" w:hAnsi="仿宋" w:eastAsia="仿宋" w:cs="仿宋"/>
          <w:color w:val="auto"/>
          <w:sz w:val="32"/>
          <w:szCs w:val="32"/>
        </w:rPr>
        <w:t>国土空间规划</w:t>
      </w:r>
      <w:bookmarkEnd w:id="19"/>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本方案位于</w:t>
      </w:r>
      <w:r>
        <w:rPr>
          <w:rFonts w:hint="eastAsia" w:ascii="仿宋" w:hAnsi="仿宋" w:eastAsia="仿宋" w:cs="仿宋"/>
          <w:color w:val="auto"/>
          <w:sz w:val="32"/>
          <w:szCs w:val="32"/>
          <w:lang w:val="en-US" w:eastAsia="zh-CN"/>
        </w:rPr>
        <w:t>新绛县</w:t>
      </w:r>
      <w:r>
        <w:rPr>
          <w:rFonts w:hint="eastAsia" w:ascii="仿宋" w:hAnsi="仿宋" w:eastAsia="仿宋" w:cs="仿宋"/>
          <w:color w:val="auto"/>
          <w:sz w:val="32"/>
          <w:szCs w:val="32"/>
        </w:rPr>
        <w:t>国土空间规划城镇开发边界内的集中建设区</w:t>
      </w:r>
      <w:r>
        <w:rPr>
          <w:rFonts w:hint="eastAsia" w:ascii="仿宋" w:hAnsi="仿宋" w:eastAsia="仿宋" w:cs="仿宋"/>
          <w:color w:val="auto"/>
          <w:sz w:val="32"/>
          <w:szCs w:val="32"/>
          <w:lang w:val="en-US" w:eastAsia="zh-CN"/>
        </w:rPr>
        <w:t>或土地利用总体规划确定的城镇建设用地</w:t>
      </w:r>
      <w:r>
        <w:rPr>
          <w:rFonts w:hint="eastAsia" w:ascii="仿宋" w:hAnsi="仿宋" w:eastAsia="仿宋" w:cs="仿宋"/>
          <w:color w:val="auto"/>
          <w:sz w:val="32"/>
          <w:szCs w:val="32"/>
        </w:rPr>
        <w:t>;符合</w:t>
      </w:r>
      <w:r>
        <w:rPr>
          <w:rFonts w:hint="eastAsia" w:ascii="仿宋" w:hAnsi="仿宋" w:eastAsia="仿宋" w:cs="仿宋"/>
          <w:color w:val="auto"/>
          <w:sz w:val="32"/>
          <w:szCs w:val="32"/>
          <w:lang w:val="en-US" w:eastAsia="zh-CN"/>
        </w:rPr>
        <w:t>新绛县</w:t>
      </w:r>
      <w:r>
        <w:rPr>
          <w:rFonts w:hint="eastAsia" w:ascii="仿宋" w:hAnsi="仿宋" w:eastAsia="仿宋" w:cs="仿宋"/>
          <w:color w:val="auto"/>
          <w:sz w:val="32"/>
          <w:szCs w:val="32"/>
        </w:rPr>
        <w:t>国土空间规划、相关专项规划等。</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成片开发</w:t>
      </w:r>
      <w:r>
        <w:rPr>
          <w:rFonts w:hint="eastAsia" w:ascii="仿宋" w:hAnsi="仿宋" w:eastAsia="仿宋" w:cs="仿宋"/>
          <w:color w:val="auto"/>
          <w:sz w:val="32"/>
          <w:szCs w:val="32"/>
        </w:rPr>
        <w:t>范围经各部门保护区审查通过，确保开发建设不会对自然保护地、饮用水水源保护区等产生影响，且范围内不涉及永久基本农田保护红线、生态保护红线、各级生态公益林、自然保护小区等保护要素。</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1"/>
        <w:rPr>
          <w:rFonts w:hint="eastAsia" w:ascii="仿宋" w:hAnsi="仿宋" w:eastAsia="仿宋" w:cs="仿宋"/>
          <w:color w:val="auto"/>
          <w:sz w:val="32"/>
          <w:szCs w:val="32"/>
        </w:rPr>
      </w:pPr>
      <w:bookmarkStart w:id="20" w:name="_Toc48"/>
      <w:r>
        <w:rPr>
          <w:rFonts w:hint="eastAsia" w:ascii="仿宋" w:hAnsi="仿宋" w:eastAsia="仿宋" w:cs="仿宋"/>
          <w:color w:val="auto"/>
          <w:sz w:val="32"/>
          <w:szCs w:val="32"/>
          <w:lang w:val="en-US" w:eastAsia="zh-CN"/>
        </w:rPr>
        <w:t>6.2</w:t>
      </w:r>
      <w:r>
        <w:rPr>
          <w:rFonts w:hint="eastAsia" w:ascii="仿宋" w:hAnsi="仿宋" w:eastAsia="仿宋" w:cs="仿宋"/>
          <w:color w:val="auto"/>
          <w:sz w:val="32"/>
          <w:szCs w:val="32"/>
        </w:rPr>
        <w:t>国民经济和社会发展规划、年度计划</w:t>
      </w:r>
      <w:bookmarkEnd w:id="20"/>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本本方案符合国民经济和社会发展规划的发展定位、要求，有利于完成规划目标、任务，并且已经纳入当地国民经济和社会发展年度计划。</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1"/>
        <w:rPr>
          <w:rFonts w:hint="eastAsia" w:ascii="仿宋" w:hAnsi="仿宋" w:eastAsia="仿宋" w:cs="仿宋"/>
          <w:color w:val="auto"/>
          <w:sz w:val="32"/>
          <w:szCs w:val="32"/>
          <w:highlight w:val="none"/>
        </w:rPr>
      </w:pPr>
      <w:bookmarkStart w:id="21" w:name="_Toc22103"/>
      <w:r>
        <w:rPr>
          <w:rFonts w:hint="eastAsia" w:ascii="仿宋" w:hAnsi="仿宋" w:eastAsia="仿宋" w:cs="仿宋"/>
          <w:color w:val="auto"/>
          <w:sz w:val="32"/>
          <w:szCs w:val="32"/>
          <w:highlight w:val="none"/>
          <w:lang w:val="en-US" w:eastAsia="zh-CN"/>
        </w:rPr>
        <w:t>6.3</w:t>
      </w:r>
      <w:r>
        <w:rPr>
          <w:rFonts w:hint="eastAsia" w:ascii="仿宋" w:hAnsi="仿宋" w:eastAsia="仿宋" w:cs="仿宋"/>
          <w:color w:val="auto"/>
          <w:sz w:val="32"/>
          <w:szCs w:val="32"/>
          <w:highlight w:val="none"/>
        </w:rPr>
        <w:t>公益性用地比例</w:t>
      </w:r>
      <w:bookmarkEnd w:id="21"/>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本方案拟用地面积174.53</w:t>
      </w:r>
      <w:r>
        <w:rPr>
          <w:rFonts w:hint="eastAsia" w:ascii="仿宋" w:hAnsi="仿宋" w:eastAsia="仿宋" w:cs="仿宋"/>
          <w:color w:val="auto"/>
          <w:sz w:val="32"/>
          <w:szCs w:val="32"/>
          <w:lang w:val="en-US" w:eastAsia="zh-CN"/>
        </w:rPr>
        <w:t>80</w:t>
      </w:r>
      <w:r>
        <w:rPr>
          <w:rFonts w:hint="eastAsia" w:ascii="仿宋" w:hAnsi="仿宋" w:eastAsia="仿宋" w:cs="仿宋"/>
          <w:color w:val="auto"/>
          <w:sz w:val="32"/>
          <w:szCs w:val="32"/>
        </w:rPr>
        <w:t>公顷，</w:t>
      </w:r>
      <w:r>
        <w:rPr>
          <w:rFonts w:hint="eastAsia" w:ascii="仿宋" w:hAnsi="仿宋" w:eastAsia="仿宋" w:cs="仿宋"/>
          <w:color w:val="auto"/>
          <w:sz w:val="32"/>
          <w:szCs w:val="32"/>
          <w:highlight w:val="none"/>
        </w:rPr>
        <w:t>其中基础设施</w:t>
      </w:r>
      <w:r>
        <w:rPr>
          <w:rFonts w:hint="eastAsia" w:ascii="仿宋" w:hAnsi="仿宋" w:eastAsia="仿宋" w:cs="仿宋"/>
          <w:color w:val="auto"/>
          <w:sz w:val="32"/>
          <w:szCs w:val="32"/>
        </w:rPr>
        <w:t>用地</w:t>
      </w:r>
      <w:r>
        <w:rPr>
          <w:rFonts w:hint="eastAsia" w:ascii="仿宋" w:hAnsi="仿宋" w:eastAsia="仿宋" w:cs="仿宋"/>
          <w:color w:val="auto"/>
          <w:sz w:val="32"/>
          <w:szCs w:val="32"/>
          <w:highlight w:val="none"/>
        </w:rPr>
        <w:t>36.54</w:t>
      </w:r>
      <w:r>
        <w:rPr>
          <w:rFonts w:hint="eastAsia" w:ascii="仿宋" w:hAnsi="仿宋" w:eastAsia="仿宋" w:cs="仿宋"/>
          <w:color w:val="auto"/>
          <w:sz w:val="32"/>
          <w:szCs w:val="32"/>
          <w:highlight w:val="none"/>
          <w:lang w:val="en-US" w:eastAsia="zh-CN"/>
        </w:rPr>
        <w:t>30</w:t>
      </w:r>
      <w:r>
        <w:rPr>
          <w:rFonts w:hint="eastAsia" w:ascii="仿宋" w:hAnsi="仿宋" w:eastAsia="仿宋" w:cs="仿宋"/>
          <w:color w:val="auto"/>
          <w:sz w:val="32"/>
          <w:szCs w:val="32"/>
          <w:highlight w:val="none"/>
        </w:rPr>
        <w:t>公顷</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公共服务设施</w:t>
      </w:r>
      <w:r>
        <w:rPr>
          <w:rFonts w:hint="eastAsia" w:ascii="仿宋" w:hAnsi="仿宋" w:eastAsia="仿宋" w:cs="仿宋"/>
          <w:color w:val="auto"/>
          <w:sz w:val="32"/>
          <w:szCs w:val="32"/>
        </w:rPr>
        <w:t>用地</w:t>
      </w:r>
      <w:r>
        <w:rPr>
          <w:rFonts w:hint="eastAsia" w:ascii="仿宋" w:hAnsi="仿宋" w:eastAsia="仿宋" w:cs="仿宋"/>
          <w:color w:val="auto"/>
          <w:sz w:val="32"/>
          <w:szCs w:val="32"/>
          <w:highlight w:val="none"/>
        </w:rPr>
        <w:t>39.4716公顷</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工业</w:t>
      </w:r>
      <w:r>
        <w:rPr>
          <w:rFonts w:hint="eastAsia" w:ascii="仿宋" w:hAnsi="仿宋" w:eastAsia="仿宋" w:cs="仿宋"/>
          <w:color w:val="auto"/>
          <w:sz w:val="32"/>
          <w:szCs w:val="32"/>
        </w:rPr>
        <w:t>用地</w:t>
      </w:r>
      <w:r>
        <w:rPr>
          <w:rFonts w:hint="eastAsia" w:ascii="仿宋" w:hAnsi="仿宋" w:eastAsia="仿宋" w:cs="仿宋"/>
          <w:color w:val="auto"/>
          <w:sz w:val="32"/>
          <w:szCs w:val="32"/>
          <w:highlight w:val="none"/>
          <w:lang w:val="en-US" w:eastAsia="zh-CN"/>
        </w:rPr>
        <w:t>64.0578</w:t>
      </w:r>
      <w:r>
        <w:rPr>
          <w:rFonts w:hint="eastAsia" w:ascii="仿宋" w:hAnsi="仿宋" w:eastAsia="仿宋" w:cs="仿宋"/>
          <w:color w:val="auto"/>
          <w:sz w:val="32"/>
          <w:szCs w:val="32"/>
          <w:highlight w:val="none"/>
        </w:rPr>
        <w:t>公顷</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商业服务业</w:t>
      </w:r>
      <w:r>
        <w:rPr>
          <w:rFonts w:hint="eastAsia" w:ascii="仿宋" w:hAnsi="仿宋" w:eastAsia="仿宋" w:cs="仿宋"/>
          <w:color w:val="auto"/>
          <w:sz w:val="32"/>
          <w:szCs w:val="32"/>
        </w:rPr>
        <w:t>用地</w:t>
      </w:r>
      <w:r>
        <w:rPr>
          <w:rFonts w:hint="eastAsia" w:ascii="仿宋" w:hAnsi="仿宋" w:eastAsia="仿宋" w:cs="仿宋"/>
          <w:color w:val="auto"/>
          <w:sz w:val="32"/>
          <w:szCs w:val="32"/>
          <w:highlight w:val="none"/>
          <w:lang w:val="en-US" w:eastAsia="zh-CN"/>
        </w:rPr>
        <w:t>0.9128公顷、住宅</w:t>
      </w:r>
      <w:r>
        <w:rPr>
          <w:rFonts w:hint="eastAsia" w:ascii="仿宋" w:hAnsi="仿宋" w:eastAsia="仿宋" w:cs="仿宋"/>
          <w:color w:val="auto"/>
          <w:sz w:val="32"/>
          <w:szCs w:val="32"/>
        </w:rPr>
        <w:t>用地</w:t>
      </w:r>
      <w:r>
        <w:rPr>
          <w:rFonts w:hint="eastAsia" w:ascii="仿宋" w:hAnsi="仿宋" w:eastAsia="仿宋" w:cs="仿宋"/>
          <w:color w:val="auto"/>
          <w:sz w:val="32"/>
          <w:szCs w:val="32"/>
          <w:highlight w:val="none"/>
          <w:lang w:val="en-US" w:eastAsia="zh-CN"/>
        </w:rPr>
        <w:t>13.4874公顷</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公益</w:t>
      </w:r>
      <w:r>
        <w:rPr>
          <w:rFonts w:hint="eastAsia" w:ascii="仿宋" w:hAnsi="仿宋" w:eastAsia="仿宋" w:cs="仿宋"/>
          <w:color w:val="auto"/>
          <w:sz w:val="32"/>
          <w:szCs w:val="32"/>
        </w:rPr>
        <w:t>性用地</w:t>
      </w:r>
      <w:r>
        <w:rPr>
          <w:rFonts w:hint="eastAsia" w:ascii="仿宋" w:hAnsi="仿宋" w:eastAsia="仿宋" w:cs="仿宋"/>
          <w:color w:val="auto"/>
          <w:sz w:val="32"/>
          <w:szCs w:val="32"/>
          <w:lang w:eastAsia="zh-CN"/>
        </w:rPr>
        <w:t>合计</w:t>
      </w:r>
      <w:r>
        <w:rPr>
          <w:rFonts w:hint="eastAsia" w:ascii="仿宋" w:hAnsi="仿宋" w:eastAsia="仿宋" w:cs="仿宋"/>
          <w:color w:val="auto"/>
          <w:sz w:val="32"/>
          <w:szCs w:val="32"/>
        </w:rPr>
        <w:t>76.0146公顷，占总用地面积</w:t>
      </w:r>
      <w:r>
        <w:rPr>
          <w:rFonts w:hint="eastAsia" w:ascii="仿宋" w:hAnsi="仿宋" w:eastAsia="仿宋" w:cs="仿宋"/>
          <w:color w:val="auto"/>
          <w:sz w:val="32"/>
          <w:szCs w:val="32"/>
          <w:lang w:val="en-US" w:eastAsia="zh-CN"/>
        </w:rPr>
        <w:t>43.55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，符合</w:t>
      </w:r>
      <w:r>
        <w:rPr>
          <w:rFonts w:hint="eastAsia" w:ascii="仿宋" w:hAnsi="仿宋" w:eastAsia="仿宋" w:cs="仿宋"/>
          <w:color w:val="auto"/>
          <w:sz w:val="32"/>
          <w:szCs w:val="32"/>
          <w:lang w:val="en-US" w:eastAsia="zh-CN"/>
        </w:rPr>
        <w:t>公益性比例不低于40%的</w:t>
      </w:r>
      <w:r>
        <w:rPr>
          <w:rFonts w:hint="eastAsia" w:ascii="仿宋" w:hAnsi="仿宋" w:eastAsia="仿宋" w:cs="仿宋"/>
          <w:color w:val="auto"/>
          <w:sz w:val="32"/>
          <w:szCs w:val="32"/>
          <w:lang w:eastAsia="zh-CN"/>
        </w:rPr>
        <w:t>规定。</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1"/>
        <w:rPr>
          <w:rFonts w:hint="eastAsia" w:ascii="仿宋" w:hAnsi="仿宋" w:eastAsia="仿宋" w:cs="仿宋"/>
          <w:color w:val="auto"/>
          <w:sz w:val="32"/>
          <w:szCs w:val="32"/>
        </w:rPr>
      </w:pPr>
      <w:bookmarkStart w:id="22" w:name="_Toc24050"/>
      <w:r>
        <w:rPr>
          <w:rFonts w:hint="eastAsia" w:ascii="仿宋" w:hAnsi="仿宋" w:eastAsia="仿宋" w:cs="仿宋"/>
          <w:color w:val="auto"/>
          <w:sz w:val="32"/>
          <w:szCs w:val="32"/>
          <w:lang w:val="en-US" w:eastAsia="zh-CN"/>
        </w:rPr>
        <w:t>6.4</w:t>
      </w:r>
      <w:r>
        <w:rPr>
          <w:rFonts w:hint="eastAsia" w:ascii="仿宋" w:hAnsi="仿宋" w:eastAsia="仿宋" w:cs="仿宋"/>
          <w:color w:val="auto"/>
          <w:sz w:val="32"/>
          <w:szCs w:val="32"/>
        </w:rPr>
        <w:t>永久基本农田</w:t>
      </w:r>
      <w:bookmarkEnd w:id="22"/>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本方案不占用永久基本农田。</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1"/>
        <w:rPr>
          <w:rFonts w:hint="eastAsia" w:ascii="仿宋" w:hAnsi="仿宋" w:eastAsia="仿宋" w:cs="仿宋"/>
          <w:color w:val="auto"/>
          <w:sz w:val="32"/>
          <w:szCs w:val="32"/>
        </w:rPr>
      </w:pPr>
      <w:bookmarkStart w:id="23" w:name="_Toc30880"/>
      <w:r>
        <w:rPr>
          <w:rFonts w:hint="eastAsia" w:ascii="仿宋" w:hAnsi="仿宋" w:eastAsia="仿宋" w:cs="仿宋"/>
          <w:color w:val="auto"/>
          <w:sz w:val="32"/>
          <w:szCs w:val="32"/>
          <w:lang w:val="en-US" w:eastAsia="zh-CN"/>
        </w:rPr>
        <w:t>6.5</w:t>
      </w:r>
      <w:r>
        <w:rPr>
          <w:rFonts w:hint="eastAsia" w:ascii="仿宋" w:hAnsi="仿宋" w:eastAsia="仿宋" w:cs="仿宋"/>
          <w:color w:val="auto"/>
          <w:sz w:val="32"/>
          <w:szCs w:val="32"/>
        </w:rPr>
        <w:t>批而未供和闲置土地情况</w:t>
      </w:r>
      <w:bookmarkEnd w:id="23"/>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lang w:val="en-US" w:eastAsia="zh-CN"/>
        </w:rPr>
        <w:t>2020</w:t>
      </w:r>
      <w:r>
        <w:rPr>
          <w:rFonts w:hint="eastAsia" w:ascii="仿宋" w:hAnsi="仿宋" w:eastAsia="仿宋" w:cs="仿宋"/>
          <w:color w:val="auto"/>
          <w:sz w:val="32"/>
          <w:szCs w:val="32"/>
        </w:rPr>
        <w:t>年度</w:t>
      </w:r>
      <w:r>
        <w:rPr>
          <w:rFonts w:hint="eastAsia" w:ascii="仿宋" w:hAnsi="仿宋" w:eastAsia="仿宋" w:cs="仿宋"/>
          <w:color w:val="auto"/>
          <w:sz w:val="32"/>
          <w:szCs w:val="32"/>
          <w:lang w:val="en-US" w:eastAsia="zh-CN"/>
        </w:rPr>
        <w:t>新绛</w:t>
      </w:r>
      <w:r>
        <w:rPr>
          <w:rFonts w:hint="eastAsia" w:ascii="仿宋" w:hAnsi="仿宋" w:eastAsia="仿宋" w:cs="仿宋"/>
          <w:color w:val="auto"/>
          <w:sz w:val="32"/>
          <w:szCs w:val="32"/>
          <w:highlight w:val="none"/>
          <w:lang w:val="en-US" w:eastAsia="zh-CN"/>
        </w:rPr>
        <w:t>县</w:t>
      </w:r>
      <w:r>
        <w:rPr>
          <w:rFonts w:hint="eastAsia" w:ascii="仿宋" w:hAnsi="仿宋" w:eastAsia="仿宋" w:cs="仿宋"/>
          <w:color w:val="auto"/>
          <w:sz w:val="32"/>
          <w:szCs w:val="32"/>
          <w:highlight w:val="none"/>
        </w:rPr>
        <w:t>批而未供土地</w:t>
      </w:r>
      <w:r>
        <w:rPr>
          <w:rFonts w:hint="eastAsia" w:ascii="仿宋" w:hAnsi="仿宋" w:eastAsia="仿宋" w:cs="仿宋"/>
          <w:color w:val="auto"/>
          <w:sz w:val="32"/>
          <w:szCs w:val="32"/>
          <w:highlight w:val="none"/>
          <w:lang w:eastAsia="zh-CN"/>
        </w:rPr>
        <w:t>处置任务量为</w:t>
      </w:r>
      <w:r>
        <w:rPr>
          <w:rFonts w:hint="eastAsia" w:ascii="仿宋" w:hAnsi="仿宋" w:eastAsia="仿宋" w:cs="仿宋"/>
          <w:color w:val="auto"/>
          <w:sz w:val="32"/>
          <w:szCs w:val="32"/>
          <w:highlight w:val="none"/>
          <w:lang w:val="en-US" w:eastAsia="zh-CN"/>
        </w:rPr>
        <w:t>210</w:t>
      </w:r>
      <w:r>
        <w:rPr>
          <w:rFonts w:hint="eastAsia" w:ascii="仿宋" w:hAnsi="仿宋" w:eastAsia="仿宋" w:cs="仿宋"/>
          <w:color w:val="auto"/>
          <w:sz w:val="32"/>
          <w:szCs w:val="32"/>
          <w:highlight w:val="none"/>
          <w:lang w:eastAsia="zh-CN"/>
        </w:rPr>
        <w:t>亩，已完成</w:t>
      </w:r>
      <w:r>
        <w:rPr>
          <w:rFonts w:hint="eastAsia" w:ascii="仿宋" w:hAnsi="仿宋" w:eastAsia="仿宋" w:cs="仿宋"/>
          <w:color w:val="auto"/>
          <w:sz w:val="32"/>
          <w:szCs w:val="32"/>
          <w:highlight w:val="none"/>
          <w:lang w:val="en-US" w:eastAsia="zh-CN"/>
        </w:rPr>
        <w:t>113</w:t>
      </w:r>
      <w:r>
        <w:rPr>
          <w:rFonts w:hint="eastAsia" w:ascii="仿宋" w:hAnsi="仿宋" w:eastAsia="仿宋" w:cs="仿宋"/>
          <w:color w:val="auto"/>
          <w:sz w:val="32"/>
          <w:szCs w:val="32"/>
          <w:highlight w:val="none"/>
          <w:lang w:eastAsia="zh-CN"/>
        </w:rPr>
        <w:t>亩，</w:t>
      </w:r>
      <w:r>
        <w:rPr>
          <w:rFonts w:hint="eastAsia" w:ascii="仿宋" w:hAnsi="仿宋" w:eastAsia="仿宋" w:cs="仿宋"/>
          <w:color w:val="auto"/>
          <w:sz w:val="32"/>
          <w:szCs w:val="32"/>
          <w:highlight w:val="none"/>
        </w:rPr>
        <w:t>处置率</w:t>
      </w:r>
      <w:r>
        <w:rPr>
          <w:rFonts w:hint="eastAsia" w:ascii="仿宋" w:hAnsi="仿宋" w:eastAsia="仿宋" w:cs="仿宋"/>
          <w:color w:val="auto"/>
          <w:sz w:val="32"/>
          <w:szCs w:val="32"/>
          <w:highlight w:val="none"/>
          <w:lang w:val="en-US" w:eastAsia="zh-CN"/>
        </w:rPr>
        <w:t>53.81</w:t>
      </w:r>
      <w:r>
        <w:rPr>
          <w:rFonts w:hint="eastAsia" w:ascii="仿宋" w:hAnsi="仿宋" w:eastAsia="仿宋" w:cs="仿宋"/>
          <w:color w:val="auto"/>
          <w:sz w:val="32"/>
          <w:szCs w:val="32"/>
          <w:highlight w:val="none"/>
        </w:rPr>
        <w:t>%。上年度闲置土地</w:t>
      </w:r>
      <w:r>
        <w:rPr>
          <w:rFonts w:hint="eastAsia" w:ascii="仿宋" w:hAnsi="仿宋" w:eastAsia="仿宋" w:cs="仿宋"/>
          <w:color w:val="auto"/>
          <w:sz w:val="32"/>
          <w:szCs w:val="32"/>
          <w:highlight w:val="none"/>
          <w:lang w:eastAsia="zh-CN"/>
        </w:rPr>
        <w:t>处置任务量为</w:t>
      </w:r>
      <w:r>
        <w:rPr>
          <w:rFonts w:hint="eastAsia" w:ascii="仿宋" w:hAnsi="仿宋" w:eastAsia="仿宋" w:cs="仿宋"/>
          <w:color w:val="auto"/>
          <w:sz w:val="32"/>
          <w:szCs w:val="32"/>
          <w:highlight w:val="none"/>
          <w:lang w:val="en-US" w:eastAsia="zh-CN"/>
        </w:rPr>
        <w:t>15</w:t>
      </w:r>
      <w:r>
        <w:rPr>
          <w:rFonts w:hint="eastAsia" w:ascii="仿宋" w:hAnsi="仿宋" w:eastAsia="仿宋" w:cs="仿宋"/>
          <w:color w:val="auto"/>
          <w:sz w:val="32"/>
          <w:szCs w:val="32"/>
          <w:highlight w:val="none"/>
          <w:lang w:eastAsia="zh-CN"/>
        </w:rPr>
        <w:t>亩，已完成</w:t>
      </w:r>
      <w:r>
        <w:rPr>
          <w:rFonts w:hint="eastAsia" w:ascii="仿宋" w:hAnsi="仿宋" w:eastAsia="仿宋" w:cs="仿宋"/>
          <w:color w:val="auto"/>
          <w:sz w:val="32"/>
          <w:szCs w:val="32"/>
          <w:highlight w:val="none"/>
          <w:lang w:val="en-US" w:eastAsia="zh-CN"/>
        </w:rPr>
        <w:t>34.79</w:t>
      </w:r>
      <w:r>
        <w:rPr>
          <w:rFonts w:hint="eastAsia" w:ascii="仿宋" w:hAnsi="仿宋" w:eastAsia="仿宋" w:cs="仿宋"/>
          <w:color w:val="auto"/>
          <w:sz w:val="32"/>
          <w:szCs w:val="32"/>
          <w:highlight w:val="none"/>
          <w:lang w:eastAsia="zh-CN"/>
        </w:rPr>
        <w:t>亩，</w:t>
      </w:r>
      <w:r>
        <w:rPr>
          <w:rFonts w:hint="eastAsia" w:ascii="仿宋" w:hAnsi="仿宋" w:eastAsia="仿宋" w:cs="仿宋"/>
          <w:color w:val="auto"/>
          <w:sz w:val="32"/>
          <w:szCs w:val="32"/>
          <w:highlight w:val="none"/>
        </w:rPr>
        <w:t>处置率</w:t>
      </w:r>
      <w:r>
        <w:rPr>
          <w:rFonts w:hint="eastAsia" w:ascii="仿宋" w:hAnsi="仿宋" w:eastAsia="仿宋" w:cs="仿宋"/>
          <w:color w:val="auto"/>
          <w:sz w:val="32"/>
          <w:szCs w:val="32"/>
          <w:highlight w:val="none"/>
          <w:lang w:val="en-US" w:eastAsia="zh-CN"/>
        </w:rPr>
        <w:t>231.93</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outlineLvl w:val="1"/>
        <w:rPr>
          <w:rFonts w:hint="eastAsia" w:ascii="仿宋" w:hAnsi="仿宋" w:eastAsia="仿宋" w:cs="仿宋"/>
          <w:color w:val="auto"/>
          <w:sz w:val="32"/>
          <w:szCs w:val="32"/>
        </w:rPr>
      </w:pPr>
      <w:bookmarkStart w:id="24" w:name="_Toc25862"/>
      <w:r>
        <w:rPr>
          <w:rFonts w:hint="eastAsia" w:ascii="仿宋" w:hAnsi="仿宋" w:eastAsia="仿宋" w:cs="仿宋"/>
          <w:color w:val="auto"/>
          <w:sz w:val="32"/>
          <w:szCs w:val="32"/>
          <w:lang w:val="en-US" w:eastAsia="zh-CN"/>
        </w:rPr>
        <w:t>6.6</w:t>
      </w:r>
      <w:r>
        <w:rPr>
          <w:rFonts w:hint="eastAsia" w:ascii="仿宋" w:hAnsi="仿宋" w:eastAsia="仿宋" w:cs="仿宋"/>
          <w:color w:val="auto"/>
          <w:sz w:val="32"/>
          <w:szCs w:val="32"/>
        </w:rPr>
        <w:t>已批准土地征收成片开发方案实施情况</w:t>
      </w:r>
      <w:bookmarkEnd w:id="24"/>
    </w:p>
    <w:p>
      <w:pPr>
        <w:keepNext w:val="0"/>
        <w:keepLines w:val="0"/>
        <w:pageBreakBefore w:val="0"/>
        <w:widowControl w:val="0"/>
        <w:kinsoku/>
        <w:wordWrap/>
        <w:overflowPunct/>
        <w:topLinePunct w:val="0"/>
        <w:autoSpaceDE/>
        <w:autoSpaceDN/>
        <w:bidi w:val="0"/>
        <w:spacing w:line="360" w:lineRule="auto"/>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新绛县</w:t>
      </w:r>
      <w:r>
        <w:rPr>
          <w:rFonts w:hint="eastAsia" w:ascii="仿宋" w:hAnsi="仿宋" w:eastAsia="仿宋" w:cs="仿宋"/>
          <w:color w:val="auto"/>
          <w:sz w:val="32"/>
          <w:szCs w:val="32"/>
        </w:rPr>
        <w:t>无已批准的土地征收成片开发方案。</w:t>
      </w:r>
    </w:p>
    <w:p>
      <w:pPr>
        <w:keepNext w:val="0"/>
        <w:keepLines w:val="0"/>
        <w:pageBreakBefore w:val="0"/>
        <w:widowControl w:val="0"/>
        <w:kinsoku/>
        <w:wordWrap/>
        <w:overflowPunct/>
        <w:topLinePunct w:val="0"/>
        <w:autoSpaceDE/>
        <w:autoSpaceDN/>
        <w:bidi w:val="0"/>
        <w:spacing w:line="360" w:lineRule="auto"/>
        <w:ind w:firstLine="640"/>
        <w:textAlignment w:val="auto"/>
        <w:outlineLvl w:val="0"/>
        <w:rPr>
          <w:rFonts w:hint="eastAsia" w:ascii="仿宋" w:hAnsi="仿宋" w:eastAsia="仿宋" w:cs="仿宋"/>
          <w:color w:val="auto"/>
          <w:sz w:val="32"/>
          <w:szCs w:val="32"/>
          <w:highlight w:val="none"/>
        </w:rPr>
      </w:pPr>
      <w:bookmarkStart w:id="25" w:name="_Toc14255"/>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效益评估</w:t>
      </w:r>
      <w:bookmarkEnd w:id="25"/>
    </w:p>
    <w:p>
      <w:pPr>
        <w:keepNext w:val="0"/>
        <w:keepLines w:val="0"/>
        <w:pageBreakBefore w:val="0"/>
        <w:widowControl w:val="0"/>
        <w:kinsoku/>
        <w:wordWrap/>
        <w:overflowPunct/>
        <w:topLinePunct w:val="0"/>
        <w:autoSpaceDE/>
        <w:autoSpaceDN/>
        <w:bidi w:val="0"/>
        <w:spacing w:line="360" w:lineRule="auto"/>
        <w:ind w:firstLine="640"/>
        <w:textAlignment w:val="auto"/>
        <w:outlineLvl w:val="1"/>
        <w:rPr>
          <w:rFonts w:hint="eastAsia" w:ascii="仿宋" w:hAnsi="仿宋" w:eastAsia="仿宋" w:cs="仿宋"/>
          <w:color w:val="auto"/>
          <w:sz w:val="32"/>
          <w:szCs w:val="32"/>
        </w:rPr>
      </w:pPr>
      <w:bookmarkStart w:id="26" w:name="_Toc20626"/>
      <w:r>
        <w:rPr>
          <w:rFonts w:hint="eastAsia" w:ascii="仿宋" w:hAnsi="仿宋" w:eastAsia="仿宋" w:cs="仿宋"/>
          <w:color w:val="auto"/>
          <w:sz w:val="32"/>
          <w:szCs w:val="32"/>
          <w:lang w:val="en-US" w:eastAsia="zh-CN"/>
        </w:rPr>
        <w:t>7.1</w:t>
      </w:r>
      <w:r>
        <w:rPr>
          <w:rFonts w:hint="eastAsia" w:ascii="仿宋" w:hAnsi="仿宋" w:eastAsia="仿宋" w:cs="仿宋"/>
          <w:color w:val="auto"/>
          <w:sz w:val="32"/>
          <w:szCs w:val="32"/>
        </w:rPr>
        <w:t>土地利用效益评估</w:t>
      </w:r>
      <w:bookmarkEnd w:id="26"/>
    </w:p>
    <w:p>
      <w:pPr>
        <w:keepNext w:val="0"/>
        <w:keepLines w:val="0"/>
        <w:pageBreakBefore w:val="0"/>
        <w:widowControl w:val="0"/>
        <w:kinsoku/>
        <w:wordWrap/>
        <w:overflowPunct/>
        <w:topLinePunct w:val="0"/>
        <w:autoSpaceDE/>
        <w:autoSpaceDN/>
        <w:bidi w:val="0"/>
        <w:spacing w:line="360" w:lineRule="auto"/>
        <w:ind w:firstLine="64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成片开发范围的划定有利于优化基础设施、服务设施的建设用地空间布局</w:t>
      </w:r>
      <w:r>
        <w:rPr>
          <w:rFonts w:hint="eastAsia" w:ascii="仿宋" w:hAnsi="仿宋" w:eastAsia="仿宋" w:cs="仿宋"/>
          <w:color w:val="auto"/>
          <w:sz w:val="32"/>
          <w:szCs w:val="32"/>
          <w:highlight w:val="none"/>
          <w:lang w:eastAsia="zh-CN"/>
        </w:rPr>
        <w:t>，有利于</w:t>
      </w:r>
      <w:r>
        <w:rPr>
          <w:rFonts w:hint="eastAsia" w:ascii="仿宋" w:hAnsi="仿宋" w:eastAsia="仿宋" w:cs="仿宋"/>
          <w:color w:val="auto"/>
          <w:sz w:val="32"/>
          <w:szCs w:val="32"/>
          <w:highlight w:val="none"/>
        </w:rPr>
        <w:t>保障未来道路交通、基础设施、公共服务设施、绿化空间等。</w:t>
      </w:r>
      <w:r>
        <w:rPr>
          <w:rFonts w:hint="eastAsia" w:ascii="仿宋" w:hAnsi="仿宋" w:eastAsia="仿宋" w:cs="仿宋"/>
          <w:color w:val="auto"/>
          <w:sz w:val="32"/>
          <w:szCs w:val="32"/>
          <w:highlight w:val="none"/>
          <w:lang w:val="en-US" w:eastAsia="zh-CN"/>
        </w:rPr>
        <w:t>有助于提高现有用地使用效益，实现土地利用由粗放型向集约型的根本转变。有利于优化建设用地空间布局，提高建设用地集约利用水平。</w:t>
      </w:r>
    </w:p>
    <w:p>
      <w:pPr>
        <w:keepNext w:val="0"/>
        <w:keepLines w:val="0"/>
        <w:pageBreakBefore w:val="0"/>
        <w:widowControl w:val="0"/>
        <w:kinsoku/>
        <w:wordWrap/>
        <w:overflowPunct/>
        <w:topLinePunct w:val="0"/>
        <w:autoSpaceDE/>
        <w:autoSpaceDN/>
        <w:bidi w:val="0"/>
        <w:spacing w:line="360" w:lineRule="auto"/>
        <w:ind w:firstLine="640"/>
        <w:textAlignment w:val="auto"/>
        <w:outlineLvl w:val="1"/>
        <w:rPr>
          <w:rFonts w:hint="eastAsia" w:ascii="仿宋" w:hAnsi="仿宋" w:eastAsia="仿宋" w:cs="仿宋"/>
          <w:color w:val="auto"/>
          <w:sz w:val="32"/>
          <w:szCs w:val="32"/>
        </w:rPr>
      </w:pPr>
      <w:bookmarkStart w:id="27" w:name="_Toc2559"/>
      <w:r>
        <w:rPr>
          <w:rFonts w:hint="eastAsia" w:ascii="仿宋" w:hAnsi="仿宋" w:eastAsia="仿宋" w:cs="仿宋"/>
          <w:color w:val="auto"/>
          <w:sz w:val="32"/>
          <w:szCs w:val="32"/>
          <w:lang w:val="en-US" w:eastAsia="zh-CN"/>
        </w:rPr>
        <w:t>7.2</w:t>
      </w:r>
      <w:r>
        <w:rPr>
          <w:rFonts w:hint="eastAsia" w:ascii="仿宋" w:hAnsi="仿宋" w:eastAsia="仿宋" w:cs="仿宋"/>
          <w:color w:val="auto"/>
          <w:sz w:val="32"/>
          <w:szCs w:val="32"/>
        </w:rPr>
        <w:t>经济效益</w:t>
      </w:r>
      <w:bookmarkEnd w:id="27"/>
    </w:p>
    <w:p>
      <w:pPr>
        <w:pStyle w:val="4"/>
        <w:keepNext w:val="0"/>
        <w:keepLines w:val="0"/>
        <w:widowControl/>
        <w:suppressLineNumbers w:val="0"/>
        <w:spacing w:line="562" w:lineRule="atLeast"/>
        <w:ind w:left="0" w:firstLine="634"/>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随着成片开发项目的推进与建设，整个成片开发区内将进行优化资源配置，以提高资源的利用率，降低能耗，提高土地的综合利用率。存量用地的使用，可降低政府用地成本；片区内企业项目的落地，可提高地方财政收入；基础设施等公益性项目的建设，完善市政的同时，也提高了人民生活水平。片区内项目建设完成后带来的经济效益将翻倍增长，从而增强在区域经济发展中的带动力，实现经济社会的协调发展。</w:t>
      </w:r>
    </w:p>
    <w:p>
      <w:pPr>
        <w:keepNext w:val="0"/>
        <w:keepLines w:val="0"/>
        <w:pageBreakBefore w:val="0"/>
        <w:widowControl w:val="0"/>
        <w:kinsoku/>
        <w:wordWrap/>
        <w:overflowPunct/>
        <w:topLinePunct w:val="0"/>
        <w:autoSpaceDE/>
        <w:autoSpaceDN/>
        <w:bidi w:val="0"/>
        <w:spacing w:line="360" w:lineRule="auto"/>
        <w:ind w:firstLine="640"/>
        <w:textAlignment w:val="auto"/>
        <w:outlineLvl w:val="1"/>
        <w:rPr>
          <w:rFonts w:hint="eastAsia" w:ascii="仿宋" w:hAnsi="仿宋" w:eastAsia="仿宋" w:cs="仿宋"/>
          <w:color w:val="auto"/>
          <w:sz w:val="32"/>
          <w:szCs w:val="32"/>
        </w:rPr>
      </w:pPr>
      <w:bookmarkStart w:id="28" w:name="_Toc28007"/>
      <w:r>
        <w:rPr>
          <w:rFonts w:hint="eastAsia" w:ascii="仿宋" w:hAnsi="仿宋" w:eastAsia="仿宋" w:cs="仿宋"/>
          <w:color w:val="auto"/>
          <w:sz w:val="32"/>
          <w:szCs w:val="32"/>
          <w:lang w:val="en-US" w:eastAsia="zh-CN"/>
        </w:rPr>
        <w:t>7.3</w:t>
      </w:r>
      <w:r>
        <w:rPr>
          <w:rFonts w:hint="eastAsia" w:ascii="仿宋" w:hAnsi="仿宋" w:eastAsia="仿宋" w:cs="仿宋"/>
          <w:color w:val="auto"/>
          <w:sz w:val="32"/>
          <w:szCs w:val="32"/>
        </w:rPr>
        <w:t>社会效益</w:t>
      </w:r>
      <w:bookmarkEnd w:id="28"/>
    </w:p>
    <w:p>
      <w:pPr>
        <w:pStyle w:val="4"/>
        <w:keepNext w:val="0"/>
        <w:keepLines w:val="0"/>
        <w:widowControl/>
        <w:suppressLineNumbers w:val="0"/>
        <w:spacing w:line="562" w:lineRule="atLeast"/>
        <w:ind w:left="0" w:firstLine="634"/>
        <w:rPr>
          <w:rFonts w:hint="eastAsia"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随着整个片区内成片开发项目的建设，基础设施及公共配套设施的完善，有利于解决片区基础设施不足、落后的问题。教育设施的建设，医疗设施的设立，文化设施的引入，商住的配套，企业的集聚以及其他公益性设施的配套，不仅有利于吸收周边剩余劳动力，完善市政基础设施，还将带动开发区及周边的社会经济发展，提高人民生活水平与质量。</w:t>
      </w:r>
    </w:p>
    <w:p>
      <w:pPr>
        <w:keepNext w:val="0"/>
        <w:keepLines w:val="0"/>
        <w:pageBreakBefore w:val="0"/>
        <w:widowControl w:val="0"/>
        <w:kinsoku/>
        <w:wordWrap/>
        <w:overflowPunct/>
        <w:topLinePunct w:val="0"/>
        <w:autoSpaceDE/>
        <w:autoSpaceDN/>
        <w:bidi w:val="0"/>
        <w:spacing w:line="360" w:lineRule="auto"/>
        <w:ind w:firstLine="640"/>
        <w:textAlignment w:val="auto"/>
        <w:outlineLvl w:val="1"/>
        <w:rPr>
          <w:rFonts w:hint="eastAsia" w:ascii="仿宋" w:hAnsi="仿宋" w:eastAsia="仿宋" w:cs="仿宋"/>
          <w:color w:val="auto"/>
          <w:sz w:val="32"/>
          <w:szCs w:val="32"/>
        </w:rPr>
      </w:pPr>
      <w:bookmarkStart w:id="29" w:name="_Toc88"/>
      <w:r>
        <w:rPr>
          <w:rFonts w:hint="eastAsia" w:ascii="仿宋" w:hAnsi="仿宋" w:eastAsia="仿宋" w:cs="仿宋"/>
          <w:color w:val="auto"/>
          <w:sz w:val="32"/>
          <w:szCs w:val="32"/>
          <w:lang w:val="en-US" w:eastAsia="zh-CN"/>
        </w:rPr>
        <w:t>7.4</w:t>
      </w:r>
      <w:r>
        <w:rPr>
          <w:rFonts w:hint="eastAsia" w:ascii="仿宋" w:hAnsi="仿宋" w:eastAsia="仿宋" w:cs="仿宋"/>
          <w:color w:val="auto"/>
          <w:sz w:val="32"/>
          <w:szCs w:val="32"/>
        </w:rPr>
        <w:t>生态效益</w:t>
      </w:r>
      <w:bookmarkEnd w:id="29"/>
    </w:p>
    <w:p>
      <w:pPr>
        <w:pStyle w:val="4"/>
        <w:keepNext w:val="0"/>
        <w:keepLines w:val="0"/>
        <w:widowControl/>
        <w:suppressLineNumbers w:val="0"/>
        <w:spacing w:line="562" w:lineRule="atLeast"/>
        <w:ind w:left="0" w:firstLine="634"/>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本方案在充分考虑区位优势和自然资源优势的基础上，充分贯彻“十分珍惜、合理利用土地和切实保护耕地”的基本国策，兼顾耕地保护和生态保护，主动避让优质耕地、永久基本农田，且不涉及历史建筑和有价值的建筑构筑物。整个</w:t>
      </w:r>
      <w:r>
        <w:rPr>
          <w:rFonts w:hint="eastAsia" w:ascii="仿宋" w:hAnsi="仿宋" w:eastAsia="仿宋" w:cs="仿宋"/>
          <w:color w:val="auto"/>
          <w:kern w:val="2"/>
          <w:sz w:val="32"/>
          <w:szCs w:val="32"/>
          <w:lang w:val="en-US" w:eastAsia="zh-CN" w:bidi="ar-SA"/>
        </w:rPr>
        <w:t>片区</w:t>
      </w:r>
      <w:r>
        <w:rPr>
          <w:rFonts w:hint="default" w:ascii="仿宋" w:hAnsi="仿宋" w:eastAsia="仿宋" w:cs="仿宋"/>
          <w:color w:val="auto"/>
          <w:kern w:val="2"/>
          <w:sz w:val="32"/>
          <w:szCs w:val="32"/>
          <w:lang w:val="en-US" w:eastAsia="zh-CN" w:bidi="ar-SA"/>
        </w:rPr>
        <w:t>将增加人均绿地面积，对周边大气环境、生态环境、土壤环境等的影响较小，在环境及安全卫生防护距离方面，符合有关规范要求。</w:t>
      </w:r>
    </w:p>
    <w:p>
      <w:pPr>
        <w:keepNext w:val="0"/>
        <w:keepLines w:val="0"/>
        <w:pageBreakBefore w:val="0"/>
        <w:widowControl w:val="0"/>
        <w:kinsoku/>
        <w:wordWrap/>
        <w:overflowPunct/>
        <w:topLinePunct w:val="0"/>
        <w:autoSpaceDE/>
        <w:autoSpaceDN/>
        <w:bidi w:val="0"/>
        <w:spacing w:line="360" w:lineRule="auto"/>
        <w:ind w:firstLine="640"/>
        <w:textAlignment w:val="auto"/>
        <w:outlineLvl w:val="0"/>
        <w:rPr>
          <w:rFonts w:hint="eastAsia" w:ascii="仿宋" w:hAnsi="仿宋" w:eastAsia="仿宋" w:cs="仿宋"/>
          <w:color w:val="auto"/>
          <w:sz w:val="32"/>
          <w:szCs w:val="32"/>
          <w:highlight w:val="none"/>
        </w:rPr>
      </w:pPr>
      <w:bookmarkStart w:id="30" w:name="_Toc2940"/>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征求意见情况</w:t>
      </w:r>
      <w:bookmarkEnd w:id="30"/>
    </w:p>
    <w:p>
      <w:pPr>
        <w:keepNext w:val="0"/>
        <w:keepLines w:val="0"/>
        <w:pageBreakBefore w:val="0"/>
        <w:widowControl w:val="0"/>
        <w:kinsoku/>
        <w:wordWrap/>
        <w:overflowPunct/>
        <w:topLinePunct w:val="0"/>
        <w:autoSpaceDE/>
        <w:autoSpaceDN/>
        <w:bidi w:val="0"/>
        <w:spacing w:line="360" w:lineRule="auto"/>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lang w:eastAsia="zh-CN"/>
        </w:rPr>
        <w:t>该方案</w:t>
      </w:r>
      <w:r>
        <w:rPr>
          <w:rFonts w:hint="eastAsia" w:ascii="仿宋" w:hAnsi="仿宋" w:eastAsia="仿宋" w:cs="仿宋"/>
          <w:color w:val="auto"/>
          <w:sz w:val="32"/>
          <w:szCs w:val="32"/>
          <w:highlight w:val="none"/>
        </w:rPr>
        <w:t>编制时,</w:t>
      </w:r>
      <w:r>
        <w:rPr>
          <w:rFonts w:hint="eastAsia" w:ascii="仿宋" w:hAnsi="仿宋" w:eastAsia="仿宋" w:cs="仿宋"/>
          <w:color w:val="auto"/>
          <w:sz w:val="32"/>
          <w:szCs w:val="32"/>
          <w:highlight w:val="none"/>
          <w:lang w:eastAsia="zh-CN"/>
        </w:rPr>
        <w:t>通过座谈会、书面征求意见等方式，</w:t>
      </w:r>
      <w:r>
        <w:rPr>
          <w:rFonts w:hint="eastAsia" w:ascii="仿宋" w:hAnsi="仿宋" w:eastAsia="仿宋" w:cs="仿宋"/>
          <w:color w:val="auto"/>
          <w:sz w:val="32"/>
          <w:szCs w:val="32"/>
          <w:highlight w:val="none"/>
        </w:rPr>
        <w:t>听取</w:t>
      </w:r>
      <w:r>
        <w:rPr>
          <w:rFonts w:hint="eastAsia" w:ascii="仿宋" w:hAnsi="仿宋" w:eastAsia="仿宋" w:cs="仿宋"/>
          <w:color w:val="auto"/>
          <w:sz w:val="32"/>
          <w:szCs w:val="32"/>
          <w:highlight w:val="none"/>
          <w:lang w:eastAsia="zh-CN"/>
        </w:rPr>
        <w:t>了</w:t>
      </w:r>
      <w:r>
        <w:rPr>
          <w:rFonts w:hint="eastAsia" w:ascii="仿宋" w:hAnsi="仿宋" w:eastAsia="仿宋" w:cs="仿宋"/>
          <w:color w:val="auto"/>
          <w:sz w:val="32"/>
          <w:szCs w:val="32"/>
          <w:highlight w:val="none"/>
        </w:rPr>
        <w:t>人大代表、政协委员和有关专家学者</w:t>
      </w:r>
      <w:r>
        <w:rPr>
          <w:rFonts w:hint="eastAsia" w:ascii="仿宋" w:hAnsi="仿宋" w:eastAsia="仿宋" w:cs="仿宋"/>
          <w:color w:val="auto"/>
          <w:sz w:val="32"/>
          <w:szCs w:val="32"/>
        </w:rPr>
        <w:t>的意见</w:t>
      </w:r>
      <w:r>
        <w:rPr>
          <w:rFonts w:hint="eastAsia" w:ascii="仿宋" w:hAnsi="仿宋" w:eastAsia="仿宋" w:cs="仿宋"/>
          <w:color w:val="auto"/>
          <w:sz w:val="32"/>
          <w:szCs w:val="32"/>
          <w:lang w:eastAsia="zh-CN"/>
        </w:rPr>
        <w:t>，并</w:t>
      </w:r>
      <w:r>
        <w:rPr>
          <w:rFonts w:hint="eastAsia" w:ascii="仿宋" w:hAnsi="仿宋" w:eastAsia="仿宋" w:cs="仿宋"/>
          <w:color w:val="auto"/>
          <w:sz w:val="32"/>
          <w:szCs w:val="32"/>
        </w:rPr>
        <w:t>经集体经济组织</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集体经济组织的三分之二以上村民代表同意</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firstLine="640" w:firstLineChars="200"/>
        <w:textAlignment w:val="auto"/>
        <w:outlineLvl w:val="0"/>
        <w:rPr>
          <w:rFonts w:hint="eastAsia" w:ascii="仿宋" w:hAnsi="仿宋" w:eastAsia="仿宋" w:cs="仿宋"/>
          <w:color w:val="auto"/>
          <w:sz w:val="32"/>
          <w:szCs w:val="32"/>
          <w:highlight w:val="none"/>
        </w:rPr>
      </w:pPr>
      <w:bookmarkStart w:id="31" w:name="_Toc27610"/>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保障措施</w:t>
      </w:r>
      <w:bookmarkEnd w:id="31"/>
    </w:p>
    <w:p>
      <w:pPr>
        <w:spacing w:line="540" w:lineRule="exact"/>
        <w:ind w:firstLine="640"/>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9.1被征地农民利益保障</w:t>
      </w:r>
    </w:p>
    <w:p>
      <w:pPr>
        <w:spacing w:line="540" w:lineRule="exact"/>
        <w:ind w:firstLine="640"/>
        <w:rPr>
          <w:rFonts w:hint="default"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val="en-US" w:eastAsia="zh-CN"/>
        </w:rPr>
        <w:t>9.1.1</w:t>
      </w:r>
      <w:r>
        <w:rPr>
          <w:rFonts w:hint="eastAsia" w:ascii="仿宋" w:hAnsi="仿宋" w:eastAsia="仿宋" w:cs="仿宋"/>
          <w:color w:val="auto"/>
          <w:sz w:val="32"/>
          <w:szCs w:val="32"/>
          <w:highlight w:val="none"/>
          <w:lang w:val="en-US" w:eastAsia="zh-CN"/>
        </w:rPr>
        <w:t xml:space="preserve">严格履行征地程序 </w:t>
      </w:r>
    </w:p>
    <w:p>
      <w:pPr>
        <w:spacing w:line="540" w:lineRule="exact"/>
        <w:ind w:firstLine="64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新绛县人民政府将严格按规定履行征地报批调查、评估、公告、听证、登记、协议等程序。</w:t>
      </w:r>
    </w:p>
    <w:p>
      <w:pPr>
        <w:spacing w:line="540" w:lineRule="exact"/>
        <w:ind w:firstLine="640"/>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val="en-US" w:eastAsia="zh-CN"/>
        </w:rPr>
        <w:t>9.1.2</w:t>
      </w:r>
      <w:r>
        <w:rPr>
          <w:rFonts w:hint="eastAsia" w:ascii="仿宋" w:hAnsi="仿宋" w:eastAsia="仿宋" w:cs="仿宋"/>
          <w:color w:val="auto"/>
          <w:sz w:val="32"/>
          <w:szCs w:val="32"/>
          <w:highlight w:val="none"/>
          <w:lang w:val="en-US" w:eastAsia="zh-CN"/>
        </w:rPr>
        <w:t xml:space="preserve">征地补偿款及补偿标准 </w:t>
      </w:r>
    </w:p>
    <w:p>
      <w:pPr>
        <w:spacing w:line="540" w:lineRule="exact"/>
        <w:ind w:firstLine="64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val="en-US" w:eastAsia="zh-CN"/>
        </w:rPr>
        <w:t>参照省政府关于公布全省征地片</w:t>
      </w:r>
      <w:r>
        <w:rPr>
          <w:rFonts w:hint="eastAsia" w:ascii="仿宋" w:hAnsi="仿宋" w:eastAsia="仿宋" w:cs="仿宋"/>
          <w:color w:val="auto"/>
          <w:sz w:val="32"/>
          <w:szCs w:val="32"/>
          <w:lang w:val="en-US" w:eastAsia="zh-CN"/>
        </w:rPr>
        <w:t>区综合地价的通知（晋政发〔2020〕16号）文件精神及周边征用土地价格，进行土地补偿征收，签订安置补偿协议，补偿款项全部发放到位，并取得“成片开发”区域范围内所有集体经济组织和农民的同意。</w:t>
      </w:r>
    </w:p>
    <w:p>
      <w:pPr>
        <w:spacing w:line="540" w:lineRule="exact"/>
        <w:ind w:firstLine="640"/>
        <w:rPr>
          <w:rFonts w:hint="default"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val="en-US" w:eastAsia="zh-CN"/>
        </w:rPr>
        <w:t>9.1.3</w:t>
      </w:r>
      <w:r>
        <w:rPr>
          <w:rFonts w:hint="eastAsia" w:ascii="仿宋" w:hAnsi="仿宋" w:eastAsia="仿宋" w:cs="仿宋"/>
          <w:color w:val="auto"/>
          <w:sz w:val="32"/>
          <w:szCs w:val="32"/>
          <w:highlight w:val="none"/>
          <w:lang w:val="en-US" w:eastAsia="zh-CN"/>
        </w:rPr>
        <w:t>征地安置</w:t>
      </w:r>
    </w:p>
    <w:p>
      <w:pPr>
        <w:spacing w:line="540" w:lineRule="exact"/>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当地政府计划通过社保安置，货币安置等方式，安置农民的基本生活。根据《山西省人民政府办公厅关于对被征地农民实行基本养老保险补贴的意见》（晋政办发〔2019〕10 号）、山西省人力资源和社会保障厅等六部门《关于印发山西省对被征地农民实行基本养老保险补贴的审核规程的通知》(晋人社厅发[2019]1号)等，切实落实各项安置补偿措施。</w:t>
      </w:r>
    </w:p>
    <w:p>
      <w:pPr>
        <w:spacing w:line="540" w:lineRule="exact"/>
        <w:ind w:firstLine="640"/>
        <w:rPr>
          <w:rFonts w:hint="default"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val="en-US" w:eastAsia="zh-CN"/>
        </w:rPr>
        <w:t>9.1.4</w:t>
      </w:r>
      <w:r>
        <w:rPr>
          <w:rFonts w:hint="eastAsia" w:ascii="仿宋" w:hAnsi="仿宋" w:eastAsia="仿宋" w:cs="仿宋"/>
          <w:color w:val="auto"/>
          <w:sz w:val="32"/>
          <w:szCs w:val="32"/>
          <w:highlight w:val="none"/>
          <w:lang w:val="en-US" w:eastAsia="zh-CN"/>
        </w:rPr>
        <w:t>社会保障</w:t>
      </w:r>
    </w:p>
    <w:p>
      <w:pPr>
        <w:spacing w:line="540" w:lineRule="exact"/>
        <w:ind w:firstLine="64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lang w:val="en-US" w:eastAsia="zh-CN"/>
        </w:rPr>
        <w:t>在土地征收及拆迁过程中，首先要按规定做好公开、公示工作，保证被征地对象的知情权。涉及村民个人利益的事项，力求做到公平公开、公正透明。村镇在征地后获得了土地补偿费和集体经济发展补助，各级政府应该加强对这些资金、资产合法使用的适度监管，防止因资金使用、资产运作不当而影响农民切身利益，进而发生“次生”社会不稳定现象。</w:t>
      </w:r>
    </w:p>
    <w:p>
      <w:pPr>
        <w:keepNext w:val="0"/>
        <w:keepLines w:val="0"/>
        <w:pageBreakBefore w:val="0"/>
        <w:widowControl w:val="0"/>
        <w:kinsoku/>
        <w:wordWrap/>
        <w:overflowPunct/>
        <w:topLinePunct w:val="0"/>
        <w:autoSpaceDE/>
        <w:autoSpaceDN/>
        <w:bidi w:val="0"/>
        <w:spacing w:line="360" w:lineRule="auto"/>
        <w:ind w:firstLine="64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lang w:val="en-US" w:eastAsia="zh-CN"/>
        </w:rPr>
        <w:t>9.2</w:t>
      </w:r>
      <w:r>
        <w:rPr>
          <w:rFonts w:hint="eastAsia" w:ascii="仿宋" w:hAnsi="仿宋" w:eastAsia="仿宋" w:cs="仿宋"/>
          <w:color w:val="auto"/>
          <w:sz w:val="32"/>
          <w:szCs w:val="32"/>
          <w:highlight w:val="none"/>
          <w:lang w:eastAsia="zh-CN"/>
        </w:rPr>
        <w:t>其他保障措施</w:t>
      </w:r>
    </w:p>
    <w:p>
      <w:pPr>
        <w:keepNext w:val="0"/>
        <w:keepLines w:val="0"/>
        <w:pageBreakBefore w:val="0"/>
        <w:widowControl w:val="0"/>
        <w:kinsoku/>
        <w:wordWrap/>
        <w:overflowPunct/>
        <w:topLinePunct w:val="0"/>
        <w:autoSpaceDE/>
        <w:autoSpaceDN/>
        <w:bidi w:val="0"/>
        <w:spacing w:line="360" w:lineRule="auto"/>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新绛县</w:t>
      </w:r>
      <w:r>
        <w:rPr>
          <w:rFonts w:hint="eastAsia" w:ascii="仿宋" w:hAnsi="仿宋" w:eastAsia="仿宋" w:cs="仿宋"/>
          <w:color w:val="auto"/>
          <w:sz w:val="32"/>
          <w:szCs w:val="32"/>
        </w:rPr>
        <w:t>土地征收成片开发方案符合国民经济和社会发展规划、土地利用、不占用永久基本农田和生态保护红线，符合自然资源部土地征收“成片开发”的标准、符合省自然资源厅土地征收成片开发的指导意见，做到了保护耕地、维护农民合法权益、节约集约用地、保护生态环境，能够促进经济社会可持续发展，符合</w:t>
      </w:r>
      <w:r>
        <w:rPr>
          <w:rFonts w:hint="eastAsia" w:ascii="仿宋" w:hAnsi="仿宋" w:eastAsia="仿宋" w:cs="仿宋"/>
          <w:color w:val="auto"/>
          <w:sz w:val="32"/>
          <w:szCs w:val="32"/>
          <w:lang w:val="en-US" w:eastAsia="zh-CN"/>
        </w:rPr>
        <w:t>新绛县</w:t>
      </w:r>
      <w:r>
        <w:rPr>
          <w:rFonts w:hint="eastAsia" w:ascii="仿宋" w:hAnsi="仿宋" w:eastAsia="仿宋" w:cs="仿宋"/>
          <w:color w:val="auto"/>
          <w:sz w:val="32"/>
          <w:szCs w:val="32"/>
        </w:rPr>
        <w:t>发展的长远利益。</w:t>
      </w:r>
    </w:p>
    <w:p>
      <w:pPr>
        <w:spacing w:line="54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10.附件</w:t>
      </w:r>
    </w:p>
    <w:p>
      <w:pPr>
        <w:numPr>
          <w:ilvl w:val="0"/>
          <w:numId w:val="0"/>
        </w:numPr>
        <w:spacing w:line="540" w:lineRule="exact"/>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10.1</w:t>
      </w:r>
      <w:r>
        <w:rPr>
          <w:rFonts w:hint="eastAsia" w:ascii="仿宋" w:hAnsi="仿宋" w:eastAsia="仿宋" w:cs="仿宋"/>
          <w:b w:val="0"/>
          <w:bCs w:val="0"/>
          <w:color w:val="auto"/>
          <w:sz w:val="32"/>
          <w:szCs w:val="32"/>
        </w:rPr>
        <w:t>附表</w:t>
      </w:r>
      <w:r>
        <w:rPr>
          <w:rFonts w:hint="eastAsia" w:ascii="仿宋" w:hAnsi="仿宋" w:eastAsia="仿宋" w:cs="仿宋"/>
          <w:b w:val="0"/>
          <w:bCs w:val="0"/>
          <w:color w:val="auto"/>
          <w:sz w:val="32"/>
          <w:szCs w:val="32"/>
          <w:lang w:eastAsia="zh-CN"/>
        </w:rPr>
        <w:t>（略）</w:t>
      </w:r>
    </w:p>
    <w:p>
      <w:pPr>
        <w:spacing w:line="540" w:lineRule="exact"/>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10.2</w:t>
      </w:r>
      <w:r>
        <w:rPr>
          <w:rFonts w:hint="eastAsia" w:ascii="仿宋" w:hAnsi="仿宋" w:eastAsia="仿宋" w:cs="仿宋"/>
          <w:b w:val="0"/>
          <w:bCs w:val="0"/>
          <w:color w:val="auto"/>
          <w:sz w:val="32"/>
          <w:szCs w:val="32"/>
        </w:rPr>
        <w:t>图件</w:t>
      </w:r>
      <w:r>
        <w:rPr>
          <w:rFonts w:hint="eastAsia" w:ascii="仿宋" w:hAnsi="仿宋" w:eastAsia="仿宋" w:cs="仿宋"/>
          <w:b w:val="0"/>
          <w:bCs w:val="0"/>
          <w:color w:val="auto"/>
          <w:sz w:val="32"/>
          <w:szCs w:val="32"/>
          <w:lang w:eastAsia="zh-CN"/>
        </w:rPr>
        <w:t>（略）</w:t>
      </w:r>
    </w:p>
    <w:p>
      <w:pPr>
        <w:spacing w:line="54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10.3相关文件（略）</w:t>
      </w:r>
    </w:p>
    <w:p>
      <w:pPr>
        <w:spacing w:line="540" w:lineRule="exact"/>
        <w:ind w:firstLine="640" w:firstLineChars="200"/>
        <w:rPr>
          <w:rFonts w:hint="eastAsia" w:ascii="仿宋" w:hAnsi="仿宋" w:eastAsia="仿宋" w:cs="仿宋"/>
          <w:color w:val="auto"/>
          <w:sz w:val="32"/>
          <w:szCs w:val="32"/>
        </w:rPr>
      </w:pPr>
    </w:p>
    <w:p>
      <w:pPr>
        <w:spacing w:line="540" w:lineRule="exact"/>
        <w:rPr>
          <w:rFonts w:hint="eastAsia" w:ascii="仿宋_GB2312" w:hAnsi="仿宋_GB2312" w:eastAsia="仿宋_GB2312" w:cs="仿宋_GB2312"/>
          <w:b/>
          <w:bCs/>
          <w:color w:val="auto"/>
          <w:sz w:val="28"/>
          <w:szCs w:val="28"/>
          <w:lang w:val="en-US" w:eastAsia="zh-CN"/>
        </w:rPr>
      </w:pPr>
      <w:r>
        <w:rPr>
          <w:rFonts w:hint="eastAsia" w:ascii="仿宋" w:hAnsi="仿宋" w:eastAsia="仿宋" w:cs="仿宋"/>
          <w:color w:val="auto"/>
          <w:sz w:val="32"/>
          <w:szCs w:val="32"/>
        </w:rPr>
        <w:t xml:space="preserve">   </w:t>
      </w:r>
    </w:p>
    <w:p>
      <w:pPr>
        <w:keepNext w:val="0"/>
        <w:keepLines w:val="0"/>
        <w:pageBreakBefore w:val="0"/>
        <w:widowControl w:val="0"/>
        <w:kinsoku/>
        <w:wordWrap/>
        <w:overflowPunct/>
        <w:topLinePunct w:val="0"/>
        <w:autoSpaceDE/>
        <w:autoSpaceDN/>
        <w:bidi w:val="0"/>
        <w:spacing w:line="360" w:lineRule="auto"/>
        <w:textAlignment w:val="auto"/>
      </w:pPr>
    </w:p>
    <w:p>
      <w:bookmarkStart w:id="32" w:name="_GoBack"/>
      <w:bookmarkEnd w:id="32"/>
    </w:p>
    <w:sectPr>
      <w:footerReference r:id="rId3" w:type="default"/>
      <w:pgSz w:w="11906" w:h="16838"/>
      <w:pgMar w:top="1440" w:right="1587" w:bottom="1440" w:left="1587"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38355E68-A910-485F-BBD8-250077C52844}"/>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embedRegular r:id="rId2" w:fontKey="{69E0701C-D841-47E3-AA5B-43BC3B4F80CA}"/>
  </w:font>
  <w:font w:name="方正小标宋简体">
    <w:panose1 w:val="02000000000000000000"/>
    <w:charset w:val="86"/>
    <w:family w:val="auto"/>
    <w:pitch w:val="default"/>
    <w:sig w:usb0="00000001" w:usb1="08000000" w:usb2="00000000" w:usb3="00000000" w:csb0="00040000" w:csb1="00000000"/>
    <w:embedRegular r:id="rId3" w:fontKey="{F1B3E430-F8A0-4B60-B189-2131A2C08789}"/>
  </w:font>
  <w:font w:name="仿宋_GB2312">
    <w:panose1 w:val="02010609030101010101"/>
    <w:charset w:val="86"/>
    <w:family w:val="modern"/>
    <w:pitch w:val="default"/>
    <w:sig w:usb0="00000001" w:usb1="080E0000" w:usb2="00000000" w:usb3="00000000" w:csb0="00040000" w:csb1="00000000"/>
    <w:embedRegular r:id="rId4" w:fontKey="{73C43DA9-2F51-4317-AFDF-7C50B973B5A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112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00" w:lineRule="exact"/>
      <w:outlineLvl w:val="1"/>
    </w:pPr>
    <w:rPr>
      <w:rFonts w:ascii="Arial" w:hAnsi="Arial" w:eastAsia="宋体" w:cs="Times New Roman"/>
      <w:b/>
      <w:sz w:val="28"/>
      <w:szCs w:val="2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keepNext w:val="0"/>
      <w:keepLines w:val="0"/>
      <w:widowControl w:val="0"/>
      <w:suppressLineNumbers w:val="0"/>
      <w:spacing w:before="0" w:beforeAutospacing="0" w:after="0" w:afterAutospacing="0"/>
      <w:ind w:left="0" w:right="0"/>
      <w:jc w:val="left"/>
    </w:pPr>
    <w:rPr>
      <w:rFonts w:hint="default"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2022-01-12T07:39:30Z</dcterms:created>
  <dc:creator>Administrator</dc:creator>
  <cp:lastModifiedBy>Administrator</cp:lastModifiedBy>
  <dcterms:modified xsi:type="dcterms:W3CDTF">2022-01-12T07:39:43Z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FB21BECA8E9A46A78DD84DB8D84FCFC6</vt:lpwstr>
  </property>
</Properties>
</file>