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after="0" w:line="440" w:lineRule="exact"/>
        <w:jc w:val="center"/>
        <w:rPr>
          <w:rFonts w:hint="eastAsia" w:ascii="方正小标宋简体" w:eastAsia="方正小标宋简体" w:cs="FZXBSJW--GB1-0" w:hAnsiTheme="minorHAnsi"/>
          <w:sz w:val="44"/>
          <w:szCs w:val="44"/>
          <w:lang w:eastAsia="zh-CN"/>
        </w:rPr>
      </w:pPr>
      <w:r>
        <w:rPr>
          <w:rFonts w:hint="eastAsia" w:ascii="方正小标宋简体" w:eastAsia="方正小标宋简体" w:cs="FZXBSJW--GB1-0" w:hAnsiTheme="minorHAnsi"/>
          <w:sz w:val="44"/>
          <w:szCs w:val="44"/>
          <w:lang w:eastAsia="zh-CN"/>
        </w:rPr>
        <w:t>新绛县交通运输局</w:t>
      </w:r>
    </w:p>
    <w:p>
      <w:pPr>
        <w:widowControl w:val="0"/>
        <w:autoSpaceDE w:val="0"/>
        <w:autoSpaceDN w:val="0"/>
        <w:snapToGrid/>
        <w:spacing w:after="0" w:line="440" w:lineRule="exact"/>
        <w:jc w:val="center"/>
        <w:rPr>
          <w:rFonts w:ascii="方正小标宋简体" w:eastAsia="方正小标宋简体" w:cs="FZXBSJW--GB1-0" w:hAnsiTheme="minorHAnsi"/>
          <w:sz w:val="44"/>
          <w:szCs w:val="44"/>
        </w:rPr>
      </w:pPr>
      <w:r>
        <w:rPr>
          <w:rFonts w:hint="eastAsia" w:ascii="方正小标宋简体" w:eastAsia="方正小标宋简体" w:cs="FZXBSJW--GB1-0" w:hAnsiTheme="minorHAnsi"/>
          <w:sz w:val="44"/>
          <w:szCs w:val="44"/>
        </w:rPr>
        <w:t>重大行政执法决定法制审核目录清单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1064"/>
        <w:gridCol w:w="1079"/>
        <w:gridCol w:w="1064"/>
        <w:gridCol w:w="2612"/>
        <w:gridCol w:w="1079"/>
        <w:gridCol w:w="1064"/>
        <w:gridCol w:w="1481"/>
        <w:gridCol w:w="2110"/>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50" w:type="dxa"/>
          </w:tcPr>
          <w:p>
            <w:pPr>
              <w:widowControl w:val="0"/>
              <w:autoSpaceDE w:val="0"/>
              <w:autoSpaceDN w:val="0"/>
              <w:snapToGrid/>
              <w:spacing w:after="0" w:line="50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序号</w:t>
            </w:r>
          </w:p>
        </w:tc>
        <w:tc>
          <w:tcPr>
            <w:tcW w:w="1064" w:type="dxa"/>
          </w:tcPr>
          <w:p>
            <w:pPr>
              <w:widowControl w:val="0"/>
              <w:autoSpaceDE w:val="0"/>
              <w:autoSpaceDN w:val="0"/>
              <w:snapToGrid/>
              <w:spacing w:after="0" w:line="500" w:lineRule="exac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执法类别</w:t>
            </w:r>
          </w:p>
        </w:tc>
        <w:tc>
          <w:tcPr>
            <w:tcW w:w="1079"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审核项目</w:t>
            </w:r>
          </w:p>
        </w:tc>
        <w:tc>
          <w:tcPr>
            <w:tcW w:w="1064"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承办机构</w:t>
            </w:r>
          </w:p>
        </w:tc>
        <w:tc>
          <w:tcPr>
            <w:tcW w:w="2612"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审核条件</w:t>
            </w:r>
          </w:p>
        </w:tc>
        <w:tc>
          <w:tcPr>
            <w:tcW w:w="1079"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审核依据</w:t>
            </w:r>
          </w:p>
        </w:tc>
        <w:tc>
          <w:tcPr>
            <w:tcW w:w="1064"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审核机构</w:t>
            </w:r>
          </w:p>
        </w:tc>
        <w:tc>
          <w:tcPr>
            <w:tcW w:w="1481"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提交审核材料</w:t>
            </w:r>
          </w:p>
        </w:tc>
        <w:tc>
          <w:tcPr>
            <w:tcW w:w="2110"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审核重点</w:t>
            </w:r>
          </w:p>
        </w:tc>
        <w:tc>
          <w:tcPr>
            <w:tcW w:w="1109" w:type="dxa"/>
            <w:vAlign w:val="center"/>
          </w:tcPr>
          <w:p>
            <w:pPr>
              <w:widowControl w:val="0"/>
              <w:autoSpaceDE w:val="0"/>
              <w:autoSpaceDN w:val="0"/>
              <w:snapToGrid/>
              <w:spacing w:after="0" w:line="500" w:lineRule="exac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650"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w:t>
            </w:r>
          </w:p>
        </w:tc>
        <w:tc>
          <w:tcPr>
            <w:tcW w:w="1064"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行政处罚</w:t>
            </w:r>
          </w:p>
        </w:tc>
        <w:tc>
          <w:tcPr>
            <w:tcW w:w="1079"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适用一般程序作出的行政处罚决定</w:t>
            </w:r>
          </w:p>
        </w:tc>
        <w:tc>
          <w:tcPr>
            <w:tcW w:w="1064" w:type="dxa"/>
            <w:vMerge w:val="restart"/>
            <w:vAlign w:val="center"/>
          </w:tcPr>
          <w:p>
            <w:pPr>
              <w:widowControl w:val="0"/>
              <w:autoSpaceDE w:val="0"/>
              <w:autoSpaceDN w:val="0"/>
              <w:snapToGrid/>
              <w:spacing w:after="0"/>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lang w:eastAsia="zh-CN"/>
              </w:rPr>
              <w:t>新绛县交通运输综合行政执法队</w:t>
            </w:r>
          </w:p>
        </w:tc>
        <w:tc>
          <w:tcPr>
            <w:tcW w:w="2612"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拟对公民、法人或者其他组织处以5000元以上较大数额罚款的</w:t>
            </w:r>
          </w:p>
        </w:tc>
        <w:tc>
          <w:tcPr>
            <w:tcW w:w="1079"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《山西省行政执法自由裁量基准制度》</w:t>
            </w:r>
          </w:p>
        </w:tc>
        <w:tc>
          <w:tcPr>
            <w:tcW w:w="1064" w:type="dxa"/>
            <w:vMerge w:val="restart"/>
            <w:vAlign w:val="center"/>
          </w:tcPr>
          <w:p>
            <w:pPr>
              <w:widowControl w:val="0"/>
              <w:autoSpaceDE w:val="0"/>
              <w:autoSpaceDN w:val="0"/>
              <w:snapToGrid/>
              <w:spacing w:after="0"/>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lang w:eastAsia="zh-CN"/>
              </w:rPr>
              <w:t>新绛县交通运输综合行政执法队审管处置室</w:t>
            </w:r>
          </w:p>
        </w:tc>
        <w:tc>
          <w:tcPr>
            <w:tcW w:w="1481" w:type="dxa"/>
            <w:vMerge w:val="restart"/>
            <w:vAlign w:val="center"/>
          </w:tcPr>
          <w:p>
            <w:pPr>
              <w:shd w:val="clear" w:color="auto" w:fill="FFFFFF"/>
              <w:spacing w:after="0"/>
              <w:jc w:val="center"/>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现场笔录、询问笔录、勘验笔录举报笔录等；视听资料等证据资料；行政强制措施决定书、证据保存清单等；法律依据；听证笔录、评估报告；陈述申辩书等；</w:t>
            </w:r>
          </w:p>
          <w:p>
            <w:pPr>
              <w:shd w:val="clear" w:color="auto" w:fill="FFFFFF"/>
              <w:spacing w:after="0"/>
              <w:jc w:val="center"/>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其他需要提交的材料。</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0"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1.执法主体是否合法，执法人员是否具备执法资格；2.主要事实是否清楚，证据是否确凿、充分；3.适用法律、法规、规章是否准确；</w:t>
            </w:r>
            <w:r>
              <w:rPr>
                <w:rFonts w:hint="eastAsia" w:cs="仿宋_GB2312" w:asciiTheme="minorEastAsia" w:hAnsiTheme="minorEastAsia" w:eastAsiaTheme="minorEastAsia"/>
                <w:sz w:val="18"/>
                <w:szCs w:val="18"/>
                <w:lang w:eastAsia="zh-CN"/>
              </w:rPr>
              <w:t>处</w:t>
            </w:r>
            <w:r>
              <w:rPr>
                <w:rFonts w:hint="eastAsia" w:cs="仿宋_GB2312" w:asciiTheme="minorEastAsia" w:hAnsiTheme="minorEastAsia" w:eastAsiaTheme="minorEastAsia"/>
                <w:sz w:val="18"/>
                <w:szCs w:val="18"/>
              </w:rPr>
              <w:t>罚执行裁量基准是否适当；4.程序是否合法，是否充分保障行政相对人权利；</w:t>
            </w:r>
          </w:p>
        </w:tc>
        <w:tc>
          <w:tcPr>
            <w:tcW w:w="1109"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7个工作日（案件复杂或因特殊情况的，经</w:t>
            </w:r>
            <w:r>
              <w:rPr>
                <w:rFonts w:hint="eastAsia" w:cs="仿宋_GB2312" w:asciiTheme="minorEastAsia" w:hAnsiTheme="minorEastAsia" w:eastAsiaTheme="minorEastAsia"/>
                <w:sz w:val="18"/>
                <w:szCs w:val="18"/>
                <w:lang w:eastAsia="zh-CN"/>
              </w:rPr>
              <w:t>新绛县交通运输综合行政执法队</w:t>
            </w:r>
            <w:r>
              <w:rPr>
                <w:rFonts w:hint="eastAsia" w:cs="仿宋_GB2312" w:asciiTheme="minorEastAsia" w:hAnsiTheme="minorEastAsia" w:eastAsiaTheme="minorEastAsia"/>
                <w:sz w:val="18"/>
                <w:szCs w:val="18"/>
              </w:rPr>
              <w:t>负责人批准，可延长5个工作日）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3" w:hRule="atLeast"/>
        </w:trPr>
        <w:tc>
          <w:tcPr>
            <w:tcW w:w="650"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612" w:type="dxa"/>
            <w:vAlign w:val="center"/>
          </w:tcPr>
          <w:p>
            <w:pPr>
              <w:widowControl w:val="0"/>
              <w:autoSpaceDE w:val="0"/>
              <w:autoSpaceDN w:val="0"/>
              <w:snapToGrid/>
              <w:spacing w:after="0"/>
              <w:jc w:val="both"/>
              <w:rPr>
                <w:rFonts w:hint="eastAsia"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拟做出减轻处罚或按照情节需要加重处罚的决定</w:t>
            </w: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p>
            <w:pPr>
              <w:widowControl w:val="0"/>
              <w:autoSpaceDE w:val="0"/>
              <w:autoSpaceDN w:val="0"/>
              <w:snapToGrid/>
              <w:spacing w:after="0"/>
              <w:jc w:val="center"/>
              <w:rPr>
                <w:rFonts w:hint="eastAsia" w:cs="仿宋_GB2312" w:asciiTheme="minorEastAsia" w:hAnsiTheme="minorEastAsia" w:eastAsiaTheme="minorEastAsia"/>
                <w:sz w:val="18"/>
                <w:szCs w:val="18"/>
              </w:rPr>
            </w:pPr>
          </w:p>
        </w:tc>
        <w:tc>
          <w:tcPr>
            <w:tcW w:w="1079"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w:t>
            </w:r>
            <w:r>
              <w:rPr>
                <w:rFonts w:hint="eastAsia" w:cs="仿宋_GB2312" w:asciiTheme="minorEastAsia" w:hAnsiTheme="minorEastAsia" w:eastAsiaTheme="minorEastAsia"/>
                <w:sz w:val="18"/>
                <w:szCs w:val="18"/>
              </w:rPr>
              <w:t>中华人民共和国行政处罚法》第</w:t>
            </w:r>
            <w:r>
              <w:rPr>
                <w:rFonts w:hint="eastAsia" w:cs="仿宋_GB2312" w:asciiTheme="minorEastAsia" w:hAnsiTheme="minorEastAsia" w:eastAsiaTheme="minorEastAsia"/>
                <w:sz w:val="18"/>
                <w:szCs w:val="18"/>
                <w:lang w:eastAsia="zh-CN"/>
              </w:rPr>
              <w:t>三</w:t>
            </w:r>
            <w:r>
              <w:rPr>
                <w:rFonts w:hint="eastAsia" w:cs="仿宋_GB2312" w:asciiTheme="minorEastAsia" w:hAnsiTheme="minorEastAsia" w:eastAsiaTheme="minorEastAsia"/>
                <w:sz w:val="18"/>
                <w:szCs w:val="18"/>
              </w:rPr>
              <w:t>十</w:t>
            </w:r>
            <w:r>
              <w:rPr>
                <w:rFonts w:hint="eastAsia" w:cs="仿宋_GB2312" w:asciiTheme="minorEastAsia" w:hAnsiTheme="minorEastAsia" w:eastAsiaTheme="minorEastAsia"/>
                <w:sz w:val="18"/>
                <w:szCs w:val="18"/>
                <w:lang w:eastAsia="zh-CN"/>
              </w:rPr>
              <w:t>二</w:t>
            </w:r>
            <w:r>
              <w:rPr>
                <w:rFonts w:hint="eastAsia" w:cs="仿宋_GB2312" w:asciiTheme="minorEastAsia" w:hAnsiTheme="minorEastAsia" w:eastAsiaTheme="minorEastAsia"/>
                <w:sz w:val="18"/>
                <w:szCs w:val="18"/>
              </w:rPr>
              <w:t>条</w:t>
            </w: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481"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0" w:type="dxa"/>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1.有无构成依法从轻或者减轻行政处罚的法律要件；2.需要作出具体规定的，必须在法律规定的给予行政处罚的行为、种类和幅度的范围内；</w:t>
            </w:r>
          </w:p>
        </w:tc>
        <w:tc>
          <w:tcPr>
            <w:tcW w:w="1109"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50"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w:t>
            </w:r>
          </w:p>
        </w:tc>
        <w:tc>
          <w:tcPr>
            <w:tcW w:w="1064"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行政强制</w:t>
            </w:r>
          </w:p>
        </w:tc>
        <w:tc>
          <w:tcPr>
            <w:tcW w:w="1079" w:type="dxa"/>
            <w:vMerge w:val="restart"/>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依法对公民、法人或者其他组织的财物实施暂时性控制的行为及行政机关对不履行行政决定的公民、法人或者其他组织，依法强制履行义务的行为</w:t>
            </w:r>
          </w:p>
        </w:tc>
        <w:tc>
          <w:tcPr>
            <w:tcW w:w="1064"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lang w:eastAsia="zh-CN"/>
              </w:rPr>
              <w:t>新绛县交通运输综合行政执法队</w:t>
            </w:r>
          </w:p>
        </w:tc>
        <w:tc>
          <w:tcPr>
            <w:tcW w:w="2612" w:type="dxa"/>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重大行政强制措施：1.查封公民、法人或者其他组织生产、经营场所；2.查封公民、法人或者其他组织主要生产、经营设施；3.查封、扣押公民财物，标的金额5000元以上的；查封、扣押法人或者其他组织财物，标的金额10万元以上的。</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w:t>
            </w:r>
            <w:r>
              <w:rPr>
                <w:rFonts w:hint="eastAsia" w:cs="仿宋_GB2312" w:asciiTheme="minorEastAsia" w:hAnsiTheme="minorEastAsia" w:eastAsiaTheme="minorEastAsia"/>
                <w:sz w:val="18"/>
                <w:szCs w:val="18"/>
                <w:lang w:eastAsia="zh-CN"/>
              </w:rPr>
              <w:t>行政</w:t>
            </w:r>
            <w:r>
              <w:rPr>
                <w:rFonts w:hint="eastAsia" w:cs="仿宋_GB2312" w:asciiTheme="minorEastAsia" w:hAnsiTheme="minorEastAsia" w:eastAsiaTheme="minorEastAsia"/>
                <w:sz w:val="18"/>
                <w:szCs w:val="18"/>
              </w:rPr>
              <w:t>强制法》第四条、第四十四条、第</w:t>
            </w:r>
            <w:bookmarkStart w:id="0" w:name="_GoBack"/>
            <w:bookmarkEnd w:id="0"/>
            <w:r>
              <w:rPr>
                <w:rFonts w:hint="eastAsia" w:cs="仿宋_GB2312" w:asciiTheme="minorEastAsia" w:hAnsiTheme="minorEastAsia" w:eastAsiaTheme="minorEastAsia"/>
                <w:sz w:val="18"/>
                <w:szCs w:val="18"/>
              </w:rPr>
              <w:t>七十条</w:t>
            </w:r>
          </w:p>
        </w:tc>
        <w:tc>
          <w:tcPr>
            <w:tcW w:w="1064" w:type="dxa"/>
            <w:vMerge w:val="restart"/>
            <w:vAlign w:val="center"/>
          </w:tcPr>
          <w:p>
            <w:pPr>
              <w:widowControl w:val="0"/>
              <w:autoSpaceDE w:val="0"/>
              <w:autoSpaceDN w:val="0"/>
              <w:snapToGrid/>
              <w:spacing w:after="0"/>
              <w:jc w:val="center"/>
              <w:rPr>
                <w:rFonts w:hint="eastAsia" w:cs="仿宋_GB2312" w:asciiTheme="minorEastAsia" w:hAnsiTheme="minorEastAsia" w:eastAsiaTheme="minorEastAsia"/>
                <w:sz w:val="18"/>
                <w:szCs w:val="18"/>
                <w:lang w:eastAsia="zh-CN"/>
              </w:rPr>
            </w:pPr>
            <w:r>
              <w:rPr>
                <w:rFonts w:hint="eastAsia" w:cs="仿宋_GB2312" w:asciiTheme="minorEastAsia" w:hAnsiTheme="minorEastAsia" w:eastAsiaTheme="minorEastAsia"/>
                <w:sz w:val="18"/>
                <w:szCs w:val="18"/>
                <w:lang w:eastAsia="zh-CN"/>
              </w:rPr>
              <w:t>新绛县交通运输综合行政执法队审管处置室</w:t>
            </w:r>
          </w:p>
        </w:tc>
        <w:tc>
          <w:tcPr>
            <w:tcW w:w="1481" w:type="dxa"/>
            <w:vMerge w:val="restart"/>
            <w:vAlign w:val="center"/>
          </w:tcPr>
          <w:p>
            <w:pPr>
              <w:shd w:val="clear" w:color="auto" w:fill="FFFFFF"/>
              <w:spacing w:after="0"/>
              <w:jc w:val="both"/>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立案审批表、现场笔录、询问笔录、勘验笔录举报笔录等；视听资料等证据资料；行政强制措施决定书、证据保存清单等；法律依据；听证笔录、评估报告；陈述申辩书等；</w:t>
            </w:r>
          </w:p>
          <w:p>
            <w:pPr>
              <w:shd w:val="clear" w:color="auto" w:fill="FFFFFF"/>
              <w:spacing w:after="0"/>
              <w:jc w:val="both"/>
              <w:textAlignment w:val="baseline"/>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其他需要提交的材料。</w:t>
            </w:r>
          </w:p>
          <w:p>
            <w:pPr>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（1.重大行政强制执行决定调查终结报告；2.重大行政强制执行决定；3.重大行政强制执行决定书代拟稿；4.相关证据材料；5.其它需要提交的材料。）</w:t>
            </w:r>
          </w:p>
          <w:p>
            <w:pPr>
              <w:shd w:val="clear" w:color="auto" w:fill="FFFFFF"/>
              <w:spacing w:after="0"/>
              <w:jc w:val="both"/>
              <w:textAlignment w:val="baseline"/>
              <w:rPr>
                <w:rFonts w:cs="仿宋_GB2312" w:asciiTheme="minorEastAsia" w:hAnsiTheme="minorEastAsia" w:eastAsiaTheme="minorEastAsia"/>
                <w:sz w:val="18"/>
                <w:szCs w:val="18"/>
              </w:rPr>
            </w:pPr>
          </w:p>
          <w:p>
            <w:pPr>
              <w:widowControl w:val="0"/>
              <w:autoSpaceDE w:val="0"/>
              <w:autoSpaceDN w:val="0"/>
              <w:snapToGrid/>
              <w:spacing w:after="0"/>
              <w:jc w:val="both"/>
              <w:rPr>
                <w:rFonts w:cs="仿宋_GB2312" w:asciiTheme="minorEastAsia" w:hAnsiTheme="minorEastAsia" w:eastAsiaTheme="minorEastAsia"/>
                <w:sz w:val="18"/>
                <w:szCs w:val="18"/>
              </w:rPr>
            </w:pPr>
          </w:p>
        </w:tc>
        <w:tc>
          <w:tcPr>
            <w:tcW w:w="2110" w:type="dxa"/>
            <w:vMerge w:val="restart"/>
            <w:vAlign w:val="center"/>
          </w:tcPr>
          <w:p>
            <w:pPr>
              <w:widowControl w:val="0"/>
              <w:autoSpaceDE w:val="0"/>
              <w:autoSpaceDN w:val="0"/>
              <w:snapToGrid/>
              <w:spacing w:after="0"/>
              <w:jc w:val="both"/>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1.公民、法人或者其他组织对行政机关实施行政强制，享有陈述权、申辩权；有权依法申请行政复</w:t>
            </w:r>
          </w:p>
          <w:p>
            <w:pPr>
              <w:widowControl w:val="0"/>
              <w:autoSpaceDE w:val="0"/>
              <w:autoSpaceDN w:val="0"/>
              <w:snapToGrid/>
              <w:spacing w:after="0"/>
              <w:jc w:val="both"/>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议或者提起行政诉讼；2.行政机关履行行政管理职责，依照法律、法规的规定，实施行政强制措施；3.行政机关在法定职权范围内实施。4.行政强制措施应当由行政机关具备资格的行政执法人员实施，其他人员不得实施。5.行政机关实施行政强制措施应当遵守下列规定：（1）实施前须向行政机关负责人报告并经批准；（2）由两名以上行政执法人员实施，并出示执法身份证件；（3）通知当事人到场；（4）当场告知当事人采取行政强制措施的理由、依据以及当事人依法享有的权利、救济途径；（5）听取当事人的陈述和申辩；（6）法律、法规规定的其他程序。</w:t>
            </w:r>
          </w:p>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5"/>
                <w:szCs w:val="15"/>
              </w:rPr>
              <w:t>（1.是否属于重大行政执法决定；2.行政执法机关主体是否合法，行政执法人员是否具备执法资格。3.适用法律、法规、规章是否准确；4.程序是否合法；5.是否有超越本机关职权范围或滥用职权的情形；6.执法文书是否规范、齐备；7.违法行为是否涉嫌犯罪需要移送司法机关；8.其他应当审核的内容。）</w:t>
            </w:r>
          </w:p>
        </w:tc>
        <w:tc>
          <w:tcPr>
            <w:tcW w:w="1109" w:type="dxa"/>
            <w:vMerge w:val="restart"/>
            <w:vAlign w:val="center"/>
          </w:tcPr>
          <w:p>
            <w:pPr>
              <w:widowControl w:val="0"/>
              <w:autoSpaceDE w:val="0"/>
              <w:autoSpaceDN w:val="0"/>
              <w:snapToGrid/>
              <w:spacing w:after="0"/>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7个工作日（案件复杂或因特殊情况的，经</w:t>
            </w:r>
            <w:r>
              <w:rPr>
                <w:rFonts w:hint="eastAsia" w:cs="仿宋_GB2312" w:asciiTheme="minorEastAsia" w:hAnsiTheme="minorEastAsia" w:eastAsiaTheme="minorEastAsia"/>
                <w:sz w:val="18"/>
                <w:szCs w:val="18"/>
                <w:lang w:eastAsia="zh-CN"/>
              </w:rPr>
              <w:t>新绛县交通运输综合执法</w:t>
            </w:r>
            <w:r>
              <w:rPr>
                <w:rFonts w:hint="eastAsia" w:cs="仿宋_GB2312" w:asciiTheme="minorEastAsia" w:hAnsiTheme="minorEastAsia" w:eastAsiaTheme="minorEastAsia"/>
                <w:sz w:val="18"/>
                <w:szCs w:val="18"/>
              </w:rPr>
              <w:t>队负责人批准，可延长5个工作日）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trPr>
        <w:tc>
          <w:tcPr>
            <w:tcW w:w="650"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continue"/>
            <w:vAlign w:val="center"/>
          </w:tcPr>
          <w:p>
            <w:pPr>
              <w:widowControl w:val="0"/>
              <w:autoSpaceDE w:val="0"/>
              <w:autoSpaceDN w:val="0"/>
              <w:snapToGrid/>
              <w:spacing w:after="0"/>
              <w:jc w:val="both"/>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612" w:type="dxa"/>
            <w:vAlign w:val="center"/>
          </w:tcPr>
          <w:p>
            <w:pPr>
              <w:widowControl w:val="0"/>
              <w:autoSpaceDE w:val="0"/>
              <w:autoSpaceDN w:val="0"/>
              <w:snapToGrid/>
              <w:spacing w:after="0"/>
              <w:jc w:val="both"/>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重大行政强制执行：1.拍卖或者依法处理查封的公民、法人或者其他组织生产、经营场所；2.拍卖或者依法处理查封的公民、法人或者其他组织主要生产、经营设施；3.拍卖或者依法处理查封、扣押的公民财物，标的金额5000元以上的；拍卖或者依法处理查封、扣押的法人或者其他组织财物，标的金额10万元以上的；4.强制拆除违法的建筑物、构筑物或者设施等；5.代履行，履行费用5000元以上的。</w:t>
            </w:r>
          </w:p>
          <w:p>
            <w:pPr>
              <w:widowControl w:val="0"/>
              <w:autoSpaceDE w:val="0"/>
              <w:autoSpaceDN w:val="0"/>
              <w:snapToGrid/>
              <w:spacing w:after="0"/>
              <w:jc w:val="center"/>
              <w:rPr>
                <w:rFonts w:cs="仿宋_GB2312" w:asciiTheme="minorEastAsia" w:hAnsiTheme="minorEastAsia" w:eastAsiaTheme="minorEastAsia"/>
                <w:sz w:val="18"/>
                <w:szCs w:val="18"/>
              </w:rPr>
            </w:pPr>
          </w:p>
        </w:tc>
        <w:tc>
          <w:tcPr>
            <w:tcW w:w="1079"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064"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481"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2110"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c>
          <w:tcPr>
            <w:tcW w:w="1109" w:type="dxa"/>
            <w:vMerge w:val="continue"/>
            <w:vAlign w:val="center"/>
          </w:tcPr>
          <w:p>
            <w:pPr>
              <w:widowControl w:val="0"/>
              <w:autoSpaceDE w:val="0"/>
              <w:autoSpaceDN w:val="0"/>
              <w:snapToGrid/>
              <w:spacing w:after="0"/>
              <w:jc w:val="center"/>
              <w:rPr>
                <w:rFonts w:cs="仿宋_GB2312" w:asciiTheme="minorEastAsia" w:hAnsiTheme="minorEastAsia" w:eastAsiaTheme="minorEastAsia"/>
                <w:sz w:val="18"/>
                <w:szCs w:val="18"/>
              </w:rPr>
            </w:pPr>
          </w:p>
        </w:tc>
      </w:tr>
    </w:tbl>
    <w:p>
      <w:pPr>
        <w:spacing w:line="600" w:lineRule="exact"/>
        <w:rPr>
          <w:rFonts w:ascii="仿宋_GB2312" w:hAnsi="方正小标宋简体" w:eastAsia="仿宋_GB2312" w:cs="方正小标宋简体"/>
          <w:kern w:val="2"/>
          <w:sz w:val="32"/>
          <w:szCs w:val="32"/>
        </w:rPr>
      </w:pPr>
    </w:p>
    <w:sectPr>
      <w:footerReference r:id="rId5" w:type="default"/>
      <w:pgSz w:w="16838" w:h="11906" w:orient="landscape"/>
      <w:pgMar w:top="1417" w:right="1871" w:bottom="1417" w:left="1871" w:header="851" w:footer="1417"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FZXBSJW--GB1-0">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rPr>
                              <w:rFonts w:ascii="宋体"/>
                              <w:sz w:val="28"/>
                            </w:rPr>
                          </w:pPr>
                          <w:r>
                            <w:rPr>
                              <w:rFonts w:ascii="宋体" w:hAnsi="宋体"/>
                              <w:color w:val="FFFFFF"/>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r>
                            <w:rPr>
                              <w:rFonts w:ascii="宋体" w:hAnsi="宋体"/>
                              <w:color w:val="FFFFFF"/>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fill on="f" focussize="0,0"/>
              <v:stroke on="f"/>
              <v:imagedata o:title=""/>
              <o:lock v:ext="edit" aspectratio="f"/>
              <v:textbox inset="0mm,0mm,0mm,0mm" style="mso-fit-shape-to-text:t;">
                <w:txbxContent>
                  <w:p>
                    <w:pPr>
                      <w:pStyle w:val="6"/>
                      <w:rPr>
                        <w:rFonts w:ascii="宋体"/>
                        <w:sz w:val="28"/>
                      </w:rPr>
                    </w:pPr>
                    <w:r>
                      <w:rPr>
                        <w:rFonts w:ascii="宋体" w:hAnsi="宋体"/>
                        <w:color w:val="FFFFFF"/>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r>
                      <w:rPr>
                        <w:rFonts w:ascii="宋体" w:hAnsi="宋体"/>
                        <w:color w:val="FFFFFF"/>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5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6CA4"/>
    <w:rsid w:val="000072E9"/>
    <w:rsid w:val="0003294F"/>
    <w:rsid w:val="00055DE7"/>
    <w:rsid w:val="0007513C"/>
    <w:rsid w:val="000B522B"/>
    <w:rsid w:val="000C2885"/>
    <w:rsid w:val="000D6E13"/>
    <w:rsid w:val="000E3C89"/>
    <w:rsid w:val="001509C5"/>
    <w:rsid w:val="00155AB2"/>
    <w:rsid w:val="00170D0C"/>
    <w:rsid w:val="0018477A"/>
    <w:rsid w:val="0018677B"/>
    <w:rsid w:val="00191A56"/>
    <w:rsid w:val="001A7C7F"/>
    <w:rsid w:val="001C4D54"/>
    <w:rsid w:val="001D72DC"/>
    <w:rsid w:val="001F5A33"/>
    <w:rsid w:val="00206CFC"/>
    <w:rsid w:val="00220873"/>
    <w:rsid w:val="00257B4C"/>
    <w:rsid w:val="00283484"/>
    <w:rsid w:val="002D6F9B"/>
    <w:rsid w:val="002E1A18"/>
    <w:rsid w:val="002F224E"/>
    <w:rsid w:val="00310C0B"/>
    <w:rsid w:val="00313E5A"/>
    <w:rsid w:val="00321369"/>
    <w:rsid w:val="00323B43"/>
    <w:rsid w:val="00331074"/>
    <w:rsid w:val="00342902"/>
    <w:rsid w:val="003614D3"/>
    <w:rsid w:val="003636A1"/>
    <w:rsid w:val="00374BD7"/>
    <w:rsid w:val="00385E8E"/>
    <w:rsid w:val="0038754C"/>
    <w:rsid w:val="00396163"/>
    <w:rsid w:val="003D37D8"/>
    <w:rsid w:val="003F574E"/>
    <w:rsid w:val="0040381D"/>
    <w:rsid w:val="00404405"/>
    <w:rsid w:val="00426133"/>
    <w:rsid w:val="0042762F"/>
    <w:rsid w:val="004358AB"/>
    <w:rsid w:val="0044280B"/>
    <w:rsid w:val="00490818"/>
    <w:rsid w:val="004B1DC3"/>
    <w:rsid w:val="005144B9"/>
    <w:rsid w:val="005360F1"/>
    <w:rsid w:val="005573AF"/>
    <w:rsid w:val="005E03DF"/>
    <w:rsid w:val="005E4C9E"/>
    <w:rsid w:val="00602C6A"/>
    <w:rsid w:val="007132D5"/>
    <w:rsid w:val="007212C1"/>
    <w:rsid w:val="00760B84"/>
    <w:rsid w:val="00774C91"/>
    <w:rsid w:val="00784059"/>
    <w:rsid w:val="007A6916"/>
    <w:rsid w:val="007C334B"/>
    <w:rsid w:val="007D27A6"/>
    <w:rsid w:val="007D7B94"/>
    <w:rsid w:val="007F3945"/>
    <w:rsid w:val="007F7FAA"/>
    <w:rsid w:val="00820609"/>
    <w:rsid w:val="00834980"/>
    <w:rsid w:val="008401A1"/>
    <w:rsid w:val="008748E4"/>
    <w:rsid w:val="00883403"/>
    <w:rsid w:val="00884929"/>
    <w:rsid w:val="008B7726"/>
    <w:rsid w:val="008C01D4"/>
    <w:rsid w:val="008C0E44"/>
    <w:rsid w:val="008D102B"/>
    <w:rsid w:val="008D6869"/>
    <w:rsid w:val="008E778A"/>
    <w:rsid w:val="009A4A46"/>
    <w:rsid w:val="009B5DA4"/>
    <w:rsid w:val="009C2818"/>
    <w:rsid w:val="009C35FD"/>
    <w:rsid w:val="009C62BE"/>
    <w:rsid w:val="009D358C"/>
    <w:rsid w:val="009D6086"/>
    <w:rsid w:val="009E47A7"/>
    <w:rsid w:val="009F3C9E"/>
    <w:rsid w:val="009F7139"/>
    <w:rsid w:val="00A32E14"/>
    <w:rsid w:val="00A46AC3"/>
    <w:rsid w:val="00A634E7"/>
    <w:rsid w:val="00A75235"/>
    <w:rsid w:val="00A84208"/>
    <w:rsid w:val="00A91A27"/>
    <w:rsid w:val="00AA078F"/>
    <w:rsid w:val="00AE5D95"/>
    <w:rsid w:val="00AF5D91"/>
    <w:rsid w:val="00B36B05"/>
    <w:rsid w:val="00B46C04"/>
    <w:rsid w:val="00B74B2E"/>
    <w:rsid w:val="00B801EC"/>
    <w:rsid w:val="00B87EF9"/>
    <w:rsid w:val="00BC07E4"/>
    <w:rsid w:val="00BD02A3"/>
    <w:rsid w:val="00BF49BB"/>
    <w:rsid w:val="00C052F0"/>
    <w:rsid w:val="00C64C27"/>
    <w:rsid w:val="00C93A77"/>
    <w:rsid w:val="00CA3169"/>
    <w:rsid w:val="00CC4A65"/>
    <w:rsid w:val="00CD257C"/>
    <w:rsid w:val="00D2248D"/>
    <w:rsid w:val="00D31D50"/>
    <w:rsid w:val="00D97114"/>
    <w:rsid w:val="00DD59BD"/>
    <w:rsid w:val="00E20BB1"/>
    <w:rsid w:val="00E3346E"/>
    <w:rsid w:val="00E42833"/>
    <w:rsid w:val="00E61E69"/>
    <w:rsid w:val="00E86D1F"/>
    <w:rsid w:val="00E9271A"/>
    <w:rsid w:val="00ED33C1"/>
    <w:rsid w:val="00F26893"/>
    <w:rsid w:val="00F268D9"/>
    <w:rsid w:val="00F3797D"/>
    <w:rsid w:val="00F46411"/>
    <w:rsid w:val="00FB0135"/>
    <w:rsid w:val="00FD488C"/>
    <w:rsid w:val="40251FCB"/>
    <w:rsid w:val="40A91289"/>
    <w:rsid w:val="48031E37"/>
    <w:rsid w:val="79BF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adjustRightInd/>
      <w:snapToGrid/>
      <w:spacing w:before="100" w:beforeAutospacing="1" w:after="100" w:afterAutospacing="1"/>
      <w:outlineLvl w:val="1"/>
    </w:pPr>
    <w:rPr>
      <w:rFonts w:ascii="宋体" w:hAnsi="宋体" w:eastAsia="宋体" w:cs="宋体"/>
      <w:b/>
      <w:bCs/>
      <w:sz w:val="36"/>
      <w:szCs w:val="36"/>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pPr>
      <w:spacing w:after="0"/>
    </w:pPr>
    <w:rPr>
      <w:sz w:val="18"/>
      <w:szCs w:val="18"/>
    </w:rPr>
  </w:style>
  <w:style w:type="paragraph" w:styleId="6">
    <w:name w:val="footer"/>
    <w:basedOn w:val="1"/>
    <w:link w:val="23"/>
    <w:unhideWhenUsed/>
    <w:qFormat/>
    <w:uiPriority w:val="0"/>
    <w:pPr>
      <w:tabs>
        <w:tab w:val="center" w:pos="4153"/>
        <w:tab w:val="right" w:pos="8306"/>
      </w:tabs>
    </w:pPr>
    <w:rPr>
      <w:sz w:val="18"/>
      <w:szCs w:val="18"/>
    </w:rPr>
  </w:style>
  <w:style w:type="paragraph" w:styleId="7">
    <w:name w:val="header"/>
    <w:basedOn w:val="1"/>
    <w:link w:val="22"/>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标题 2 Char"/>
    <w:basedOn w:val="11"/>
    <w:link w:val="3"/>
    <w:qFormat/>
    <w:uiPriority w:val="9"/>
    <w:rPr>
      <w:rFonts w:ascii="宋体" w:hAnsi="宋体" w:eastAsia="宋体" w:cs="宋体"/>
      <w:b/>
      <w:bCs/>
      <w:sz w:val="36"/>
      <w:szCs w:val="36"/>
    </w:rPr>
  </w:style>
  <w:style w:type="character" w:customStyle="1" w:styleId="15">
    <w:name w:val="grey"/>
    <w:basedOn w:val="11"/>
    <w:qFormat/>
    <w:uiPriority w:val="0"/>
  </w:style>
  <w:style w:type="paragraph" w:customStyle="1" w:styleId="16">
    <w:name w:val="summary"/>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7">
    <w:name w:val="List Paragraph"/>
    <w:basedOn w:val="1"/>
    <w:qFormat/>
    <w:uiPriority w:val="34"/>
    <w:pPr>
      <w:ind w:firstLine="420" w:firstLineChars="200"/>
    </w:pPr>
  </w:style>
  <w:style w:type="character" w:customStyle="1" w:styleId="18">
    <w:name w:val="标题 3 Char"/>
    <w:basedOn w:val="11"/>
    <w:link w:val="4"/>
    <w:qFormat/>
    <w:uiPriority w:val="9"/>
    <w:rPr>
      <w:rFonts w:ascii="Tahoma" w:hAnsi="Tahoma"/>
      <w:b/>
      <w:bCs/>
      <w:sz w:val="32"/>
      <w:szCs w:val="32"/>
    </w:rPr>
  </w:style>
  <w:style w:type="character" w:customStyle="1" w:styleId="19">
    <w:name w:val="p_r201"/>
    <w:basedOn w:val="11"/>
    <w:qFormat/>
    <w:uiPriority w:val="0"/>
  </w:style>
  <w:style w:type="character" w:customStyle="1" w:styleId="20">
    <w:name w:val="标题 1 Char"/>
    <w:basedOn w:val="11"/>
    <w:link w:val="2"/>
    <w:qFormat/>
    <w:uiPriority w:val="9"/>
    <w:rPr>
      <w:rFonts w:ascii="Tahoma" w:hAnsi="Tahoma"/>
      <w:b/>
      <w:bCs/>
      <w:kern w:val="44"/>
      <w:sz w:val="44"/>
      <w:szCs w:val="44"/>
    </w:rPr>
  </w:style>
  <w:style w:type="character" w:customStyle="1" w:styleId="21">
    <w:name w:val="批注框文本 Char"/>
    <w:basedOn w:val="11"/>
    <w:link w:val="5"/>
    <w:semiHidden/>
    <w:qFormat/>
    <w:uiPriority w:val="99"/>
    <w:rPr>
      <w:rFonts w:ascii="Tahoma" w:hAnsi="Tahoma"/>
      <w:sz w:val="18"/>
      <w:szCs w:val="18"/>
    </w:rPr>
  </w:style>
  <w:style w:type="character" w:customStyle="1" w:styleId="22">
    <w:name w:val="页眉 Char"/>
    <w:basedOn w:val="11"/>
    <w:link w:val="7"/>
    <w:semiHidden/>
    <w:qFormat/>
    <w:uiPriority w:val="99"/>
    <w:rPr>
      <w:rFonts w:ascii="Tahoma" w:hAnsi="Tahoma"/>
      <w:sz w:val="18"/>
      <w:szCs w:val="18"/>
    </w:rPr>
  </w:style>
  <w:style w:type="character" w:customStyle="1" w:styleId="23">
    <w:name w:val="页脚 Char"/>
    <w:basedOn w:val="11"/>
    <w:link w:val="6"/>
    <w:qFormat/>
    <w:uiPriority w:val="0"/>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233</Words>
  <Characters>1331</Characters>
  <Lines>11</Lines>
  <Paragraphs>3</Paragraphs>
  <TotalTime>30</TotalTime>
  <ScaleCrop>false</ScaleCrop>
  <LinksUpToDate>false</LinksUpToDate>
  <CharactersWithSpaces>1561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cp:lastPrinted>2019-12-01T09:15:00Z</cp:lastPrinted>
  <dcterms:modified xsi:type="dcterms:W3CDTF">2021-09-15T07:40:38Z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E7D4F8A7E21E4FAA8B413BDB10719A6C</vt:lpwstr>
  </property>
</Properties>
</file>